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EB" w:rsidRPr="006A2AD0" w:rsidRDefault="00114AEB" w:rsidP="00A60A60">
      <w:pPr>
        <w:autoSpaceDE w:val="0"/>
        <w:autoSpaceDN w:val="0"/>
        <w:adjustRightInd w:val="0"/>
        <w:spacing w:after="0" w:line="240" w:lineRule="auto"/>
        <w:ind w:right="521"/>
        <w:rPr>
          <w:rFonts w:ascii="Palatino Linotype" w:hAnsi="Palatino Linotype" w:cs="Times New Roman"/>
          <w:b/>
          <w:color w:val="000000" w:themeColor="text1"/>
          <w:sz w:val="28"/>
          <w:szCs w:val="30"/>
          <w:lang w:val="en-US"/>
        </w:rPr>
      </w:pPr>
    </w:p>
    <w:p w:rsidR="00CB5618" w:rsidRPr="006A2AD0" w:rsidRDefault="006A2AD0" w:rsidP="006A2AD0">
      <w:pPr>
        <w:spacing w:line="240" w:lineRule="auto"/>
        <w:rPr>
          <w:rFonts w:ascii="Palatino Linotype" w:eastAsia="Calibri" w:hAnsi="Palatino Linotype" w:cs="Arial"/>
          <w:b/>
          <w:sz w:val="32"/>
          <w:szCs w:val="30"/>
        </w:rPr>
      </w:pPr>
      <w:r w:rsidRPr="006A2AD0">
        <w:rPr>
          <w:rFonts w:ascii="Palatino Linotype" w:hAnsi="Palatino Linotype"/>
          <w:b/>
          <w:sz w:val="32"/>
          <w:szCs w:val="32"/>
        </w:rPr>
        <w:t>Description of Adolescent Understanding at SMK Negeri 9 Padang on the Dangers of Drug Abuse</w:t>
      </w:r>
      <w:r w:rsidRPr="006A2AD0">
        <w:rPr>
          <w:rFonts w:ascii="Palatino Linotype" w:eastAsia="Calibri" w:hAnsi="Palatino Linotype" w:cs="Arial"/>
          <w:b/>
          <w:sz w:val="32"/>
          <w:szCs w:val="30"/>
        </w:rPr>
        <w:t xml:space="preserve"> </w:t>
      </w:r>
    </w:p>
    <w:p w:rsidR="00CB5618" w:rsidRPr="00947365" w:rsidRDefault="006A2AD0" w:rsidP="00CB5618">
      <w:pPr>
        <w:autoSpaceDE w:val="0"/>
        <w:autoSpaceDN w:val="0"/>
        <w:adjustRightInd w:val="0"/>
        <w:spacing w:after="0" w:line="240" w:lineRule="auto"/>
        <w:rPr>
          <w:rFonts w:ascii="Palatino Linotype" w:hAnsi="Palatino Linotype" w:cs="Times New Roman"/>
          <w:b/>
          <w:color w:val="000000" w:themeColor="text1"/>
          <w:szCs w:val="24"/>
          <w:lang w:val="en-US"/>
        </w:rPr>
      </w:pPr>
      <w:r>
        <w:rPr>
          <w:rFonts w:ascii="Palatino Linotype" w:hAnsi="Palatino Linotype" w:cs="Times New Roman"/>
          <w:b/>
          <w:color w:val="000000" w:themeColor="text1"/>
          <w:sz w:val="26"/>
          <w:szCs w:val="24"/>
        </w:rPr>
        <w:t>Annisa Pertiwi</w:t>
      </w:r>
      <w:r w:rsidR="00CB5618" w:rsidRPr="00947365">
        <w:rPr>
          <w:rFonts w:ascii="Palatino Linotype" w:hAnsi="Palatino Linotype" w:cs="Times New Roman"/>
          <w:b/>
          <w:color w:val="000000" w:themeColor="text1"/>
          <w:sz w:val="26"/>
          <w:szCs w:val="24"/>
        </w:rPr>
        <w:t xml:space="preserve">, </w:t>
      </w:r>
      <w:r>
        <w:rPr>
          <w:rFonts w:ascii="Palatino Linotype" w:hAnsi="Palatino Linotype" w:cs="Times New Roman"/>
          <w:b/>
          <w:color w:val="000000" w:themeColor="text1"/>
          <w:sz w:val="26"/>
          <w:szCs w:val="24"/>
        </w:rPr>
        <w:t>Yeni Karneli, Afdal</w:t>
      </w:r>
      <w:r w:rsidR="00CB5618" w:rsidRPr="00947365">
        <w:rPr>
          <w:rFonts w:ascii="Palatino Linotype" w:hAnsi="Palatino Linotype" w:cs="Times New Roman"/>
          <w:b/>
          <w:color w:val="000000" w:themeColor="text1"/>
          <w:szCs w:val="24"/>
        </w:rPr>
        <w:t xml:space="preserve"> </w:t>
      </w:r>
    </w:p>
    <w:p w:rsidR="00CB5618" w:rsidRPr="006A2AD0" w:rsidRDefault="00CB5618" w:rsidP="00CB5618">
      <w:pPr>
        <w:autoSpaceDE w:val="0"/>
        <w:autoSpaceDN w:val="0"/>
        <w:adjustRightInd w:val="0"/>
        <w:spacing w:after="0" w:line="240" w:lineRule="auto"/>
        <w:rPr>
          <w:rFonts w:ascii="Palatino Linotype" w:hAnsi="Palatino Linotype" w:cs="Times New Roman"/>
          <w:color w:val="000000" w:themeColor="text1"/>
          <w:szCs w:val="20"/>
        </w:rPr>
      </w:pPr>
      <w:r w:rsidRPr="00947365">
        <w:rPr>
          <w:rFonts w:ascii="Palatino Linotype" w:hAnsi="Palatino Linotype" w:cs="Times New Roman"/>
          <w:color w:val="000000" w:themeColor="text1"/>
          <w:szCs w:val="20"/>
          <w:vertAlign w:val="superscript"/>
          <w:lang w:val="en-US"/>
        </w:rPr>
        <w:t>1</w:t>
      </w:r>
      <w:r w:rsidR="006A2AD0">
        <w:rPr>
          <w:rFonts w:ascii="Palatino Linotype" w:hAnsi="Palatino Linotype" w:cs="Times New Roman"/>
          <w:color w:val="000000" w:themeColor="text1"/>
          <w:szCs w:val="20"/>
          <w:vertAlign w:val="superscript"/>
        </w:rPr>
        <w:t>23</w:t>
      </w:r>
      <w:r w:rsidR="006A2AD0">
        <w:rPr>
          <w:rFonts w:ascii="Palatino Linotype" w:hAnsi="Palatino Linotype" w:cs="Times New Roman"/>
          <w:color w:val="000000" w:themeColor="text1"/>
          <w:szCs w:val="20"/>
        </w:rPr>
        <w:t>Universitas Negeri Padang 123</w:t>
      </w:r>
    </w:p>
    <w:p w:rsidR="00CB5618" w:rsidRPr="006A2AD0" w:rsidRDefault="00CB5618" w:rsidP="00CB5618">
      <w:pPr>
        <w:autoSpaceDE w:val="0"/>
        <w:autoSpaceDN w:val="0"/>
        <w:adjustRightInd w:val="0"/>
        <w:spacing w:after="0" w:line="240" w:lineRule="auto"/>
        <w:rPr>
          <w:rFonts w:ascii="Palatino Linotype" w:hAnsi="Palatino Linotype" w:cs="Times New Roman"/>
          <w:color w:val="000000" w:themeColor="text1"/>
          <w:szCs w:val="20"/>
        </w:rPr>
      </w:pPr>
      <w:r w:rsidRPr="00947365">
        <w:rPr>
          <w:rFonts w:ascii="Palatino Linotype" w:hAnsi="Palatino Linotype" w:cs="Times New Roman"/>
          <w:color w:val="000000" w:themeColor="text1"/>
          <w:szCs w:val="20"/>
          <w:lang w:val="en-US"/>
        </w:rPr>
        <w:t>*</w:t>
      </w:r>
      <w:r w:rsidR="006A2AD0">
        <w:rPr>
          <w:rFonts w:ascii="Palatino Linotype" w:hAnsi="Palatino Linotype" w:cs="Times New Roman"/>
          <w:color w:val="000000" w:themeColor="text1"/>
          <w:szCs w:val="20"/>
        </w:rPr>
        <w:t>annisapertiwi51@gmail.com</w:t>
      </w:r>
    </w:p>
    <w:p w:rsidR="00CB5618" w:rsidRPr="00947365" w:rsidRDefault="00CB5618" w:rsidP="00CB5618">
      <w:pPr>
        <w:autoSpaceDE w:val="0"/>
        <w:autoSpaceDN w:val="0"/>
        <w:adjustRightInd w:val="0"/>
        <w:spacing w:after="0" w:line="240" w:lineRule="auto"/>
        <w:rPr>
          <w:rFonts w:ascii="Palatino Linotype" w:hAnsi="Palatino Linotype" w:cs="Times New Roman"/>
          <w:color w:val="000000" w:themeColor="text1"/>
          <w:sz w:val="18"/>
          <w:szCs w:val="20"/>
          <w:lang w:val="en-US"/>
        </w:rPr>
      </w:pPr>
    </w:p>
    <w:p w:rsidR="00F57E09" w:rsidRDefault="00CB5618" w:rsidP="00F57E09">
      <w:pPr>
        <w:pStyle w:val="ListParagraph"/>
        <w:spacing w:after="0" w:line="240" w:lineRule="auto"/>
        <w:ind w:right="805"/>
        <w:contextualSpacing w:val="0"/>
        <w:jc w:val="both"/>
        <w:rPr>
          <w:rFonts w:ascii="Palatino Linotype" w:hAnsi="Palatino Linotype" w:cs="Times New Roman"/>
          <w:b/>
          <w:szCs w:val="20"/>
        </w:rPr>
      </w:pPr>
      <w:r w:rsidRPr="00947365">
        <w:rPr>
          <w:rFonts w:ascii="Palatino Linotype" w:hAnsi="Palatino Linotype" w:cs="Times New Roman"/>
          <w:b/>
          <w:szCs w:val="20"/>
        </w:rPr>
        <w:t>Abstr</w:t>
      </w:r>
      <w:r w:rsidRPr="00947365">
        <w:rPr>
          <w:rFonts w:ascii="Palatino Linotype" w:hAnsi="Palatino Linotype" w:cs="Times New Roman"/>
          <w:b/>
          <w:szCs w:val="20"/>
          <w:lang w:val="en-US"/>
        </w:rPr>
        <w:t>act</w:t>
      </w:r>
    </w:p>
    <w:p w:rsidR="00F57E09" w:rsidRPr="00D51AA5" w:rsidRDefault="00F57E09" w:rsidP="00F57E09">
      <w:pPr>
        <w:pStyle w:val="ListParagraph"/>
        <w:spacing w:after="0" w:line="240" w:lineRule="auto"/>
        <w:ind w:right="-1"/>
        <w:contextualSpacing w:val="0"/>
        <w:jc w:val="both"/>
        <w:rPr>
          <w:rFonts w:ascii="Palatino Linotype" w:hAnsi="Palatino Linotype" w:cs="Times New Roman"/>
          <w:szCs w:val="20"/>
        </w:rPr>
      </w:pPr>
      <w:r w:rsidRPr="00D51AA5">
        <w:rPr>
          <w:rFonts w:ascii="Palatino Linotype" w:hAnsi="Palatino Linotype"/>
        </w:rPr>
        <w:t>Drug abuse in adolescents is increasingly margined, drug abuse can cause a variety of negative impacts. Understanding is one of the most important aspects in the prevention of drug abuse. This research aims to determine the understanding of adolescents in SMK Negeri 9 Padang on the Dangers of Drug</w:t>
      </w:r>
      <w:r w:rsidRPr="00D51AA5">
        <w:rPr>
          <w:rFonts w:ascii="Palatino Linotype" w:hAnsi="Palatino Linotype"/>
          <w:b/>
        </w:rPr>
        <w:t xml:space="preserve"> </w:t>
      </w:r>
      <w:r w:rsidRPr="00D51AA5">
        <w:rPr>
          <w:rFonts w:ascii="Palatino Linotype" w:hAnsi="Palatino Linotype"/>
        </w:rPr>
        <w:t>Abuse. This research uses quantitative descriptive methods. The population of this research was 435 students of class X of SMK Negeri 9 Padang. The research sample was 204 students. Based on research results 145 students (71%) Have an understanding of the dangers of drugs in the sufficient category, 55 students (27%) In good category, and 4 students (2%) In the less category. Understanding of students in SMK Negeri 9 Padang, the majority of which are in sufficient category and some students are in the category of less must be sought to be more improved.</w:t>
      </w:r>
    </w:p>
    <w:p w:rsidR="00CB5618" w:rsidRPr="00F57E09" w:rsidRDefault="00CB5618" w:rsidP="001F7A29">
      <w:pPr>
        <w:spacing w:after="0" w:line="240" w:lineRule="auto"/>
        <w:ind w:left="720" w:right="-2"/>
        <w:jc w:val="both"/>
        <w:rPr>
          <w:rFonts w:ascii="Palatino Linotype" w:hAnsi="Palatino Linotype" w:cs="Times New Roman"/>
          <w:color w:val="000000" w:themeColor="text1"/>
          <w:szCs w:val="20"/>
        </w:rPr>
      </w:pPr>
    </w:p>
    <w:p w:rsidR="00F57E09" w:rsidRPr="00D51AA5" w:rsidRDefault="00CB5618" w:rsidP="00F57E09">
      <w:pPr>
        <w:pStyle w:val="ListParagraph"/>
        <w:tabs>
          <w:tab w:val="left" w:pos="8787"/>
        </w:tabs>
        <w:spacing w:after="0" w:line="240" w:lineRule="auto"/>
        <w:ind w:right="-2"/>
        <w:contextualSpacing w:val="0"/>
        <w:jc w:val="both"/>
        <w:rPr>
          <w:rFonts w:ascii="Palatino Linotype" w:hAnsi="Palatino Linotype" w:cs="Times New Roman"/>
          <w:color w:val="000000" w:themeColor="text1"/>
          <w:szCs w:val="20"/>
        </w:rPr>
      </w:pPr>
      <w:r w:rsidRPr="00947365">
        <w:rPr>
          <w:rFonts w:ascii="Palatino Linotype" w:hAnsi="Palatino Linotype" w:cs="Times New Roman"/>
          <w:b/>
          <w:szCs w:val="20"/>
          <w:lang w:val="en-US"/>
        </w:rPr>
        <w:t>Keywords</w:t>
      </w:r>
      <w:r w:rsidRPr="00D51AA5">
        <w:rPr>
          <w:rFonts w:ascii="Palatino Linotype" w:hAnsi="Palatino Linotype" w:cs="Times New Roman"/>
          <w:szCs w:val="20"/>
        </w:rPr>
        <w:t>:</w:t>
      </w:r>
      <w:r w:rsidRPr="00D51AA5">
        <w:rPr>
          <w:rFonts w:ascii="Palatino Linotype" w:hAnsi="Palatino Linotype" w:cs="Times New Roman"/>
          <w:szCs w:val="20"/>
          <w:lang w:val="en-US"/>
        </w:rPr>
        <w:t xml:space="preserve"> </w:t>
      </w:r>
      <w:r w:rsidR="00F57E09" w:rsidRPr="00D51AA5">
        <w:rPr>
          <w:rFonts w:ascii="Palatino Linotype" w:hAnsi="Palatino Linotype" w:cs="Times New Roman"/>
          <w:szCs w:val="20"/>
        </w:rPr>
        <w:t xml:space="preserve"> </w:t>
      </w:r>
      <w:r w:rsidR="00F57E09" w:rsidRPr="00D51AA5">
        <w:rPr>
          <w:rFonts w:ascii="Palatino Linotype" w:hAnsi="Palatino Linotype"/>
        </w:rPr>
        <w:t>Adolescents, drug hazards, understanding of drug abuse</w:t>
      </w:r>
    </w:p>
    <w:p w:rsidR="00F57E09" w:rsidRPr="00F57E09" w:rsidRDefault="00F57E09" w:rsidP="001F7A29">
      <w:pPr>
        <w:pStyle w:val="ListParagraph"/>
        <w:tabs>
          <w:tab w:val="left" w:pos="8787"/>
        </w:tabs>
        <w:spacing w:after="0" w:line="240" w:lineRule="auto"/>
        <w:ind w:right="-2"/>
        <w:contextualSpacing w:val="0"/>
        <w:jc w:val="both"/>
        <w:rPr>
          <w:rFonts w:ascii="Palatino Linotype" w:hAnsi="Palatino Linotype" w:cs="Times New Roman"/>
          <w:b/>
          <w:szCs w:val="20"/>
        </w:rPr>
      </w:pPr>
    </w:p>
    <w:p w:rsidR="00CB5618" w:rsidRPr="00947365" w:rsidRDefault="00CB5618" w:rsidP="00CB5618">
      <w:pPr>
        <w:spacing w:after="0" w:line="240" w:lineRule="auto"/>
        <w:rPr>
          <w:rFonts w:ascii="Palatino Linotype" w:hAnsi="Palatino Linotype" w:cs="Times New Roman"/>
          <w:color w:val="000000" w:themeColor="text1"/>
          <w:szCs w:val="20"/>
          <w:lang w:val="en-US"/>
        </w:rPr>
      </w:pPr>
    </w:p>
    <w:p w:rsidR="006E1D40" w:rsidRPr="00D51AA5" w:rsidRDefault="006E1D40" w:rsidP="00D51AA5">
      <w:pPr>
        <w:pStyle w:val="ListParagraph"/>
        <w:spacing w:after="0" w:line="240" w:lineRule="auto"/>
        <w:ind w:left="709" w:right="-2"/>
        <w:contextualSpacing w:val="0"/>
        <w:jc w:val="both"/>
        <w:rPr>
          <w:rFonts w:ascii="Palatino Linotype" w:hAnsi="Palatino Linotype" w:cs="Times New Roman"/>
          <w:szCs w:val="20"/>
        </w:rPr>
      </w:pPr>
      <w:r w:rsidRPr="00947365">
        <w:rPr>
          <w:rFonts w:ascii="Palatino Linotype" w:hAnsi="Palatino Linotype" w:cs="Times New Roman"/>
          <w:b/>
          <w:szCs w:val="20"/>
          <w:lang w:val="en-US"/>
        </w:rPr>
        <w:t xml:space="preserve">How to </w:t>
      </w:r>
      <w:r w:rsidRPr="00947365">
        <w:rPr>
          <w:rFonts w:ascii="Palatino Linotype" w:hAnsi="Palatino Linotype" w:cs="Times New Roman"/>
          <w:b/>
          <w:szCs w:val="20"/>
        </w:rPr>
        <w:t>Cite:</w:t>
      </w:r>
      <w:r w:rsidR="00D51AA5">
        <w:rPr>
          <w:rFonts w:ascii="Palatino Linotype" w:hAnsi="Palatino Linotype" w:cs="Times New Roman"/>
          <w:szCs w:val="20"/>
        </w:rPr>
        <w:t xml:space="preserve"> Annisa Pertiwi, Yeni Karneli, Afdal. 2019</w:t>
      </w:r>
      <w:r w:rsidRPr="00947365">
        <w:rPr>
          <w:rFonts w:ascii="Palatino Linotype" w:hAnsi="Palatino Linotype" w:cs="Times New Roman"/>
          <w:szCs w:val="20"/>
        </w:rPr>
        <w:t xml:space="preserve">. </w:t>
      </w:r>
      <w:r w:rsidR="00D51AA5" w:rsidRPr="00D51AA5">
        <w:rPr>
          <w:rFonts w:ascii="Palatino Linotype" w:hAnsi="Palatino Linotype" w:cs="Times New Roman"/>
          <w:szCs w:val="20"/>
        </w:rPr>
        <w:t>Description of Adolescent Understanding at SMK Negeri 9 Padang on the Dangers of Drug Abuse</w:t>
      </w:r>
      <w:r w:rsidRPr="00D51AA5">
        <w:rPr>
          <w:rFonts w:ascii="Palatino Linotype" w:hAnsi="Palatino Linotype" w:cs="Times New Roman"/>
          <w:szCs w:val="20"/>
        </w:rPr>
        <w:t xml:space="preserve">. </w:t>
      </w:r>
      <w:r w:rsidRPr="00D51AA5">
        <w:rPr>
          <w:rFonts w:ascii="Palatino Linotype" w:hAnsi="Palatino Linotype" w:cs="Times New Roman"/>
          <w:szCs w:val="20"/>
          <w:lang w:val="en-US"/>
        </w:rPr>
        <w:t>Konselor</w:t>
      </w:r>
      <w:r w:rsidRPr="00D51AA5">
        <w:rPr>
          <w:rFonts w:ascii="Palatino Linotype" w:hAnsi="Palatino Linotype" w:cs="Times New Roman"/>
          <w:szCs w:val="20"/>
        </w:rPr>
        <w:t xml:space="preserve">, </w:t>
      </w:r>
      <w:r w:rsidR="00A74BB4" w:rsidRPr="00D51AA5">
        <w:rPr>
          <w:rFonts w:ascii="Palatino Linotype" w:hAnsi="Palatino Linotype" w:cs="Times New Roman"/>
          <w:szCs w:val="20"/>
          <w:lang w:val="en-US"/>
        </w:rPr>
        <w:t>VV</w:t>
      </w:r>
      <w:r w:rsidRPr="00D51AA5">
        <w:rPr>
          <w:rFonts w:ascii="Palatino Linotype" w:hAnsi="Palatino Linotype" w:cs="Times New Roman"/>
          <w:szCs w:val="20"/>
        </w:rPr>
        <w:t xml:space="preserve"> (</w:t>
      </w:r>
      <w:r w:rsidR="00712F37" w:rsidRPr="00D51AA5">
        <w:rPr>
          <w:rFonts w:ascii="Palatino Linotype" w:hAnsi="Palatino Linotype" w:cs="Times New Roman"/>
          <w:szCs w:val="20"/>
          <w:lang w:val="en-US"/>
        </w:rPr>
        <w:t>N</w:t>
      </w:r>
      <w:r w:rsidRPr="00D51AA5">
        <w:rPr>
          <w:rFonts w:ascii="Palatino Linotype" w:hAnsi="Palatino Linotype" w:cs="Times New Roman"/>
          <w:szCs w:val="20"/>
        </w:rPr>
        <w:t>): p</w:t>
      </w:r>
      <w:r w:rsidRPr="00D51AA5">
        <w:rPr>
          <w:rFonts w:ascii="Palatino Linotype" w:hAnsi="Palatino Linotype" w:cs="Times New Roman"/>
          <w:szCs w:val="20"/>
          <w:lang w:val="en-US"/>
        </w:rPr>
        <w:t>p</w:t>
      </w:r>
      <w:r w:rsidRPr="00D51AA5">
        <w:rPr>
          <w:rFonts w:ascii="Palatino Linotype" w:hAnsi="Palatino Linotype" w:cs="Times New Roman"/>
          <w:szCs w:val="20"/>
        </w:rPr>
        <w:t>. XX-XX</w:t>
      </w:r>
      <w:r w:rsidR="00712F37" w:rsidRPr="00D51AA5">
        <w:rPr>
          <w:rFonts w:ascii="Palatino Linotype" w:hAnsi="Palatino Linotype" w:cs="Times New Roman"/>
          <w:szCs w:val="20"/>
          <w:lang w:val="en-US"/>
        </w:rPr>
        <w:t xml:space="preserve">, </w:t>
      </w:r>
      <w:r w:rsidR="00712F37" w:rsidRPr="00D51AA5">
        <w:rPr>
          <w:rFonts w:ascii="Palatino Linotype" w:hAnsi="Palatino Linotype"/>
          <w:sz w:val="24"/>
          <w:lang w:val="en-US"/>
        </w:rPr>
        <w:t>DOI:</w:t>
      </w:r>
      <w:r w:rsidR="00712F37" w:rsidRPr="00D51AA5">
        <w:rPr>
          <w:rFonts w:ascii="Palatino Linotype" w:hAnsi="Palatino Linotype"/>
          <w:sz w:val="24"/>
        </w:rPr>
        <w:t xml:space="preserve"> </w:t>
      </w:r>
      <w:hyperlink r:id="rId8" w:history="1">
        <w:r w:rsidR="00712F37" w:rsidRPr="00D51AA5">
          <w:rPr>
            <w:rFonts w:ascii="Palatino Linotype" w:hAnsi="Palatino Linotype" w:cs="Times New Roman"/>
            <w:szCs w:val="20"/>
          </w:rPr>
          <w:t>10.24036/XXXXXXXXXX-X-XX</w:t>
        </w:r>
      </w:hyperlink>
    </w:p>
    <w:p w:rsidR="00CB5618" w:rsidRPr="00947365" w:rsidRDefault="00CB5618" w:rsidP="007A6480">
      <w:pPr>
        <w:spacing w:after="0" w:line="240" w:lineRule="auto"/>
        <w:ind w:right="522"/>
        <w:jc w:val="both"/>
        <w:rPr>
          <w:rFonts w:ascii="Palatino Linotype" w:hAnsi="Palatino Linotype" w:cs="Times New Roman"/>
          <w:szCs w:val="20"/>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9016"/>
      </w:tblGrid>
      <w:tr w:rsidR="00CB5618" w:rsidRPr="00947365" w:rsidTr="00AC00F9">
        <w:tc>
          <w:tcPr>
            <w:tcW w:w="9016" w:type="dxa"/>
            <w:tcBorders>
              <w:top w:val="single" w:sz="4" w:space="0" w:color="auto"/>
              <w:left w:val="nil"/>
              <w:bottom w:val="single" w:sz="6" w:space="0" w:color="auto"/>
              <w:right w:val="nil"/>
            </w:tcBorders>
          </w:tcPr>
          <w:p w:rsidR="00CB5618" w:rsidRPr="00947365" w:rsidRDefault="004D06AE" w:rsidP="007B2E37">
            <w:pPr>
              <w:pStyle w:val="OpenAcces"/>
              <w:spacing w:before="80" w:after="80"/>
              <w:ind w:left="992"/>
              <w:rPr>
                <w:rFonts w:ascii="Palatino Linotype" w:hAnsi="Palatino Linotype"/>
                <w:szCs w:val="13"/>
              </w:rPr>
            </w:pPr>
            <w:r w:rsidRPr="007B2E37">
              <w:rPr>
                <w:rFonts w:ascii="Palatino Linotype" w:hAnsi="Palatino Linotype"/>
                <w:noProof/>
                <w:sz w:val="13"/>
                <w:szCs w:val="13"/>
                <w:lang w:val="id-ID" w:eastAsia="id-ID"/>
              </w:rPr>
              <w:drawing>
                <wp:anchor distT="0" distB="0" distL="71755" distR="71755" simplePos="0" relativeHeight="251660288" behindDoc="1" locked="0" layoutInCell="1" allowOverlap="1">
                  <wp:simplePos x="0" y="0"/>
                  <wp:positionH relativeFrom="column">
                    <wp:posOffset>-17780</wp:posOffset>
                  </wp:positionH>
                  <wp:positionV relativeFrom="paragraph">
                    <wp:posOffset>41275</wp:posOffset>
                  </wp:positionV>
                  <wp:extent cx="606425" cy="241300"/>
                  <wp:effectExtent l="19050" t="0" r="3175" b="0"/>
                  <wp:wrapTight wrapText="bothSides">
                    <wp:wrapPolygon edited="0">
                      <wp:start x="-679" y="0"/>
                      <wp:lineTo x="-679" y="20463"/>
                      <wp:lineTo x="21713" y="20463"/>
                      <wp:lineTo x="21713" y="0"/>
                      <wp:lineTo x="-679"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06425" cy="241300"/>
                          </a:xfrm>
                          <a:prstGeom prst="rect">
                            <a:avLst/>
                          </a:prstGeom>
                          <a:noFill/>
                          <a:ln w="9525">
                            <a:noFill/>
                            <a:miter lim="800000"/>
                            <a:headEnd/>
                            <a:tailEnd/>
                          </a:ln>
                        </pic:spPr>
                      </pic:pic>
                    </a:graphicData>
                  </a:graphic>
                </wp:anchor>
              </w:drawing>
            </w:r>
            <w:r w:rsidRPr="007B2E37">
              <w:rPr>
                <w:rStyle w:val="OpenAccesChar"/>
                <w:rFonts w:ascii="Palatino Linotype" w:hAnsi="Palatino Linotype"/>
                <w:sz w:val="13"/>
                <w:szCs w:val="13"/>
              </w:rPr>
              <w:t>This is an open access article distributed under the Creative Commons 4.0 Attribution License, which permits unrestricted use, distribution, and reproduction in any medium, provided the original work is properly cited</w:t>
            </w:r>
            <w:r w:rsidRPr="007B2E37">
              <w:rPr>
                <w:rFonts w:ascii="Palatino Linotype" w:hAnsi="Palatino Linotype"/>
                <w:iCs/>
                <w:sz w:val="13"/>
                <w:szCs w:val="13"/>
              </w:rPr>
              <w:t>.</w:t>
            </w:r>
            <w:r w:rsidRPr="007B2E37">
              <w:rPr>
                <w:rFonts w:ascii="Palatino Linotype" w:hAnsi="Palatino Linotype"/>
                <w:sz w:val="13"/>
                <w:szCs w:val="13"/>
              </w:rPr>
              <w:t xml:space="preserve"> ©201</w:t>
            </w:r>
            <w:r w:rsidR="007B2E37">
              <w:rPr>
                <w:rFonts w:ascii="Palatino Linotype" w:hAnsi="Palatino Linotype"/>
                <w:sz w:val="13"/>
                <w:szCs w:val="13"/>
              </w:rPr>
              <w:t>9</w:t>
            </w:r>
            <w:r w:rsidRPr="007B2E37">
              <w:rPr>
                <w:rFonts w:ascii="Palatino Linotype" w:hAnsi="Palatino Linotype"/>
                <w:sz w:val="13"/>
                <w:szCs w:val="13"/>
              </w:rPr>
              <w:t xml:space="preserve"> by </w:t>
            </w:r>
            <w:r w:rsidR="007B2E37">
              <w:rPr>
                <w:rFonts w:ascii="Palatino Linotype" w:hAnsi="Palatino Linotype"/>
                <w:sz w:val="13"/>
                <w:szCs w:val="13"/>
              </w:rPr>
              <w:t>A</w:t>
            </w:r>
            <w:r w:rsidRPr="007B2E37">
              <w:rPr>
                <w:rFonts w:ascii="Palatino Linotype" w:hAnsi="Palatino Linotype"/>
                <w:sz w:val="13"/>
                <w:szCs w:val="13"/>
              </w:rPr>
              <w:t>uthor</w:t>
            </w:r>
          </w:p>
        </w:tc>
      </w:tr>
    </w:tbl>
    <w:p w:rsidR="00CB5618" w:rsidRPr="00947365" w:rsidRDefault="00CB5618" w:rsidP="009557ED">
      <w:pPr>
        <w:spacing w:after="0" w:line="240" w:lineRule="auto"/>
        <w:jc w:val="both"/>
        <w:rPr>
          <w:rFonts w:ascii="Palatino Linotype" w:hAnsi="Palatino Linotype" w:cs="Times New Roman"/>
          <w:b/>
          <w:szCs w:val="20"/>
        </w:rPr>
      </w:pPr>
    </w:p>
    <w:p w:rsidR="00CB5618" w:rsidRPr="00947365" w:rsidRDefault="0088703B" w:rsidP="00F7263E">
      <w:pPr>
        <w:tabs>
          <w:tab w:val="left" w:pos="2595"/>
        </w:tabs>
        <w:spacing w:after="120" w:line="240" w:lineRule="auto"/>
        <w:jc w:val="both"/>
        <w:rPr>
          <w:rFonts w:ascii="Palatino Linotype" w:hAnsi="Palatino Linotype" w:cs="Times New Roman"/>
          <w:b/>
          <w:sz w:val="26"/>
          <w:szCs w:val="24"/>
          <w:lang w:val="en-US"/>
        </w:rPr>
      </w:pPr>
      <w:r w:rsidRPr="00947365">
        <w:rPr>
          <w:rFonts w:ascii="Palatino Linotype" w:hAnsi="Palatino Linotype" w:cs="Times New Roman"/>
          <w:b/>
          <w:sz w:val="26"/>
          <w:szCs w:val="24"/>
          <w:lang w:val="en-US"/>
        </w:rPr>
        <w:t>Introduction</w:t>
      </w:r>
      <w:r w:rsidR="00F7263E" w:rsidRPr="00947365">
        <w:rPr>
          <w:rFonts w:ascii="Palatino Linotype" w:hAnsi="Palatino Linotype" w:cs="Times New Roman"/>
          <w:b/>
          <w:sz w:val="26"/>
          <w:szCs w:val="24"/>
          <w:lang w:val="en-US"/>
        </w:rPr>
        <w:tab/>
      </w:r>
    </w:p>
    <w:p w:rsidR="00D87B8C" w:rsidRDefault="00D87B8C" w:rsidP="00D87B8C">
      <w:pPr>
        <w:spacing w:line="240" w:lineRule="auto"/>
        <w:ind w:firstLine="567"/>
        <w:jc w:val="both"/>
        <w:rPr>
          <w:rFonts w:ascii="Palatino Linotype" w:hAnsi="Palatino Linotype"/>
        </w:rPr>
      </w:pPr>
      <w:r w:rsidRPr="00D87B8C">
        <w:rPr>
          <w:rFonts w:ascii="Palatino Linotype" w:hAnsi="Palatino Linotype"/>
        </w:rPr>
        <w:t>The rise of abuse and the illegal circulation of drugs in Indonesia should have a high attention from a</w:t>
      </w:r>
      <w:r>
        <w:rPr>
          <w:rFonts w:ascii="Palatino Linotype" w:hAnsi="Palatino Linotype"/>
        </w:rPr>
        <w:t xml:space="preserve">ll components of the community </w:t>
      </w:r>
      <w:r>
        <w:rPr>
          <w:rFonts w:ascii="Palatino Linotype" w:hAnsi="Palatino Linotype"/>
        </w:rPr>
        <w:fldChar w:fldCharType="begin" w:fldLock="1"/>
      </w:r>
      <w:r>
        <w:rPr>
          <w:rFonts w:ascii="Palatino Linotype" w:hAnsi="Palatino Linotype"/>
        </w:rPr>
        <w:instrText>ADDIN CSL_CITATION { "citationItems" : [ { "id" : "ITEM-1", "itemData" : { "author" : [ { "dropping-particle" : "", "family" : "BNN", "given" : "", "non-dropping-particle" : "", "parse-names" : false, "suffix" : "" } ], "id" : "ITEM-1", "issued" : { "date-parts" : [ [ "2017" ] ] }, "publisher" : "BNNRI", "publisher-place" : "Jakarta", "title" : "Pedoman pencegahan penyalahgunaan narkoba bagi remaja", "type" : "book" }, "uris" : [ "http://www.mendeley.com/documents/?uuid=d673d523-19dd-48f7-993c-2b9b0191f2a0" ] } ], "mendeley" : { "formattedCitation" : "(BNN, 2017)", "plainTextFormattedCitation" : "(BNN, 2017)", "previouslyFormattedCitation" : "(BNN, 2017)" }, "properties" : { "noteIndex" : 0 }, "schema" : "https://github.com/citation-style-language/schema/raw/master/csl-citation.json" }</w:instrText>
      </w:r>
      <w:r>
        <w:rPr>
          <w:rFonts w:ascii="Palatino Linotype" w:hAnsi="Palatino Linotype"/>
        </w:rPr>
        <w:fldChar w:fldCharType="separate"/>
      </w:r>
      <w:r w:rsidRPr="00D87B8C">
        <w:rPr>
          <w:rFonts w:ascii="Palatino Linotype" w:hAnsi="Palatino Linotype"/>
          <w:noProof/>
        </w:rPr>
        <w:t>(BNN, 2017)</w:t>
      </w:r>
      <w:r>
        <w:rPr>
          <w:rFonts w:ascii="Palatino Linotype" w:hAnsi="Palatino Linotype"/>
        </w:rPr>
        <w:fldChar w:fldCharType="end"/>
      </w:r>
      <w:r w:rsidRPr="00D87B8C">
        <w:rPr>
          <w:rFonts w:ascii="Palatino Linotype" w:hAnsi="Palatino Linotype"/>
        </w:rPr>
        <w:t xml:space="preserve">. The development of drug abuse cases that occurred lately, is a very worrying situation and is an urgent state issue,  not wrong if the Government stated that Indonesia is in an emergency situation drug </w:t>
      </w:r>
      <w:r>
        <w:rPr>
          <w:rFonts w:ascii="Palatino Linotype" w:hAnsi="Palatino Linotype"/>
        </w:rPr>
        <w:fldChar w:fldCharType="begin" w:fldLock="1"/>
      </w:r>
      <w:r>
        <w:rPr>
          <w:rFonts w:ascii="Palatino Linotype" w:hAnsi="Palatino Linotype"/>
        </w:rPr>
        <w:instrText>ADDIN CSL_CITATION { "citationItems" : [ { "id" : "ITEM-1", "itemData" : { "author" : [ { "dropping-particle" : "", "family" : "BNN", "given" : "", "non-dropping-particle" : "", "parse-names" : false, "suffix" : "" } ], "id" : "ITEM-1", "issued" : { "date-parts" : [ [ "2017" ] ] }, "publisher" : "BNNRI", "publisher-place" : "Jakarta", "title" : "Pedoman pencegahan penyalahgunaan narkoba bagi remaja", "type" : "book" }, "uris" : [ "http://www.mendeley.com/documents/?uuid=d673d523-19dd-48f7-993c-2b9b0191f2a0" ] } ], "mendeley" : { "formattedCitation" : "(BNN, 2017)", "plainTextFormattedCitation" : "(BNN, 2017)", "previouslyFormattedCitation" : "(BNN, 2017)" }, "properties" : { "noteIndex" : 0 }, "schema" : "https://github.com/citation-style-language/schema/raw/master/csl-citation.json" }</w:instrText>
      </w:r>
      <w:r>
        <w:rPr>
          <w:rFonts w:ascii="Palatino Linotype" w:hAnsi="Palatino Linotype"/>
        </w:rPr>
        <w:fldChar w:fldCharType="separate"/>
      </w:r>
      <w:r w:rsidRPr="00D87B8C">
        <w:rPr>
          <w:rFonts w:ascii="Palatino Linotype" w:hAnsi="Palatino Linotype"/>
          <w:noProof/>
        </w:rPr>
        <w:t>(BNN, 2017)</w:t>
      </w:r>
      <w:r>
        <w:rPr>
          <w:rFonts w:ascii="Palatino Linotype" w:hAnsi="Palatino Linotype"/>
        </w:rPr>
        <w:fldChar w:fldCharType="end"/>
      </w:r>
      <w:r w:rsidRPr="00D87B8C">
        <w:rPr>
          <w:rFonts w:ascii="Palatino Linotype" w:hAnsi="Palatino Linotype"/>
        </w:rPr>
        <w:t xml:space="preserve">. </w:t>
      </w:r>
      <w:r>
        <w:rPr>
          <w:rFonts w:ascii="Palatino Linotype" w:hAnsi="Palatino Linotype"/>
        </w:rPr>
        <w:t xml:space="preserve">Statistical data on drug cases </w:t>
      </w:r>
      <w:r>
        <w:rPr>
          <w:rFonts w:ascii="Palatino Linotype" w:hAnsi="Palatino Linotype"/>
        </w:rPr>
        <w:fldChar w:fldCharType="begin" w:fldLock="1"/>
      </w:r>
      <w:r>
        <w:rPr>
          <w:rFonts w:ascii="Palatino Linotype" w:hAnsi="Palatino Linotype"/>
        </w:rPr>
        <w:instrText>ADDIN CSL_CITATION { "citationItems" : [ { "id" : "ITEM-1", "itemData" : { "author" : [ { "dropping-particle" : "", "family" : "BNN", "given" : "", "non-dropping-particle" : "", "parse-names" : false, "suffix" : "" } ], "container-title" : "https://puslitdatin.bnn.go.id/portfolio/data-statistik-kasus-narkoba/", "id" : "ITEM-1", "issued" : { "date-parts" : [ [ "2019" ] ] }, "title" : "Data statistik kasus narkoba", "type" : "webpage" }, "uris" : [ "http://www.mendeley.com/documents/?uuid=4528e4a3-3027-4b62-9408-4598012990c3" ] } ], "mendeley" : { "formattedCitation" : "(BNN, 2019)", "plainTextFormattedCitation" : "(BNN, 2019)", "previouslyFormattedCitation" : "(BNN, 2019)" }, "properties" : { "noteIndex" : 0 }, "schema" : "https://github.com/citation-style-language/schema/raw/master/csl-citation.json" }</w:instrText>
      </w:r>
      <w:r>
        <w:rPr>
          <w:rFonts w:ascii="Palatino Linotype" w:hAnsi="Palatino Linotype"/>
        </w:rPr>
        <w:fldChar w:fldCharType="separate"/>
      </w:r>
      <w:r w:rsidRPr="00D87B8C">
        <w:rPr>
          <w:rFonts w:ascii="Palatino Linotype" w:hAnsi="Palatino Linotype"/>
          <w:noProof/>
        </w:rPr>
        <w:t>(BNN, 2019)</w:t>
      </w:r>
      <w:r>
        <w:rPr>
          <w:rFonts w:ascii="Palatino Linotype" w:hAnsi="Palatino Linotype"/>
        </w:rPr>
        <w:fldChar w:fldCharType="end"/>
      </w:r>
      <w:r w:rsidRPr="00D87B8C">
        <w:rPr>
          <w:rFonts w:ascii="Palatino Linotype" w:hAnsi="Palatino Linotype"/>
        </w:rPr>
        <w:t xml:space="preserve"> as follows.</w:t>
      </w:r>
    </w:p>
    <w:p w:rsidR="00D87B8C" w:rsidRDefault="00D87B8C" w:rsidP="00D87B8C">
      <w:pPr>
        <w:spacing w:line="240" w:lineRule="auto"/>
        <w:ind w:firstLine="567"/>
        <w:jc w:val="both"/>
        <w:rPr>
          <w:rFonts w:ascii="Palatino Linotype" w:hAnsi="Palatino Linotype"/>
        </w:rPr>
      </w:pPr>
    </w:p>
    <w:p w:rsidR="00D87B8C" w:rsidRDefault="00D87B8C" w:rsidP="00D87B8C">
      <w:pPr>
        <w:spacing w:line="240" w:lineRule="auto"/>
        <w:ind w:firstLine="567"/>
        <w:jc w:val="both"/>
        <w:rPr>
          <w:rFonts w:ascii="Palatino Linotype" w:hAnsi="Palatino Linotype"/>
        </w:rPr>
      </w:pPr>
    </w:p>
    <w:p w:rsidR="00D87B8C" w:rsidRDefault="00D87B8C" w:rsidP="00D87B8C">
      <w:pPr>
        <w:spacing w:line="240" w:lineRule="auto"/>
        <w:ind w:firstLine="567"/>
        <w:jc w:val="both"/>
        <w:rPr>
          <w:rFonts w:ascii="Palatino Linotype" w:hAnsi="Palatino Linotype"/>
        </w:rPr>
      </w:pPr>
    </w:p>
    <w:p w:rsidR="00D87B8C" w:rsidRPr="00D87B8C" w:rsidRDefault="00D87B8C" w:rsidP="00D87B8C">
      <w:pPr>
        <w:spacing w:line="240" w:lineRule="auto"/>
        <w:ind w:firstLine="567"/>
        <w:jc w:val="both"/>
        <w:rPr>
          <w:rFonts w:ascii="Palatino Linotype" w:hAnsi="Palatino Linotype"/>
        </w:rPr>
      </w:pPr>
    </w:p>
    <w:p w:rsidR="00D87B8C" w:rsidRPr="000B603E" w:rsidRDefault="00D87B8C" w:rsidP="00D87B8C">
      <w:pPr>
        <w:spacing w:after="0" w:line="240" w:lineRule="auto"/>
        <w:jc w:val="center"/>
        <w:rPr>
          <w:rFonts w:ascii="Palatino Linotype" w:hAnsi="Palatino Linotype"/>
          <w:b/>
        </w:rPr>
      </w:pPr>
    </w:p>
    <w:p w:rsidR="00D87B8C" w:rsidRPr="00D87B8C" w:rsidRDefault="00D87B8C" w:rsidP="00D87B8C">
      <w:pPr>
        <w:spacing w:after="0" w:line="240" w:lineRule="auto"/>
        <w:jc w:val="center"/>
        <w:rPr>
          <w:rFonts w:ascii="Palatino Linotype" w:hAnsi="Palatino Linotype"/>
        </w:rPr>
      </w:pPr>
      <w:r w:rsidRPr="00D87B8C">
        <w:rPr>
          <w:rFonts w:ascii="Palatino Linotype" w:hAnsi="Palatino Linotype"/>
        </w:rPr>
        <w:drawing>
          <wp:inline distT="0" distB="0" distL="0" distR="0">
            <wp:extent cx="5743575" cy="22560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36887" t="35692" r="9917" b="26443"/>
                    <a:stretch>
                      <a:fillRect/>
                    </a:stretch>
                  </pic:blipFill>
                  <pic:spPr bwMode="auto">
                    <a:xfrm>
                      <a:off x="0" y="0"/>
                      <a:ext cx="5739114" cy="2254250"/>
                    </a:xfrm>
                    <a:prstGeom prst="rect">
                      <a:avLst/>
                    </a:prstGeom>
                    <a:noFill/>
                    <a:ln w="9525">
                      <a:noFill/>
                      <a:miter lim="800000"/>
                      <a:headEnd/>
                      <a:tailEnd/>
                    </a:ln>
                  </pic:spPr>
                </pic:pic>
              </a:graphicData>
            </a:graphic>
          </wp:inline>
        </w:drawing>
      </w:r>
    </w:p>
    <w:p w:rsidR="00CB5618" w:rsidRPr="000B603E" w:rsidRDefault="00D87B8C" w:rsidP="00D87B8C">
      <w:pPr>
        <w:spacing w:after="0" w:line="240" w:lineRule="auto"/>
        <w:jc w:val="both"/>
        <w:rPr>
          <w:rFonts w:ascii="Palatino Linotype" w:hAnsi="Palatino Linotype"/>
          <w:color w:val="000000" w:themeColor="text1"/>
          <w:sz w:val="20"/>
        </w:rPr>
      </w:pPr>
      <w:r w:rsidRPr="000B603E">
        <w:rPr>
          <w:rFonts w:ascii="Palatino Linotype" w:hAnsi="Palatino Linotype" w:cs="Times New Roman"/>
          <w:sz w:val="20"/>
        </w:rPr>
        <w:t xml:space="preserve">Source: </w:t>
      </w:r>
      <w:r w:rsidRPr="000B603E">
        <w:rPr>
          <w:rFonts w:ascii="Palatino Linotype" w:hAnsi="Palatino Linotype"/>
          <w:color w:val="000000" w:themeColor="text1"/>
          <w:sz w:val="20"/>
        </w:rPr>
        <w:t>Badan Narkotika Nasional 2019</w:t>
      </w:r>
    </w:p>
    <w:p w:rsidR="000B603E" w:rsidRPr="000B603E" w:rsidRDefault="000B603E" w:rsidP="000B603E">
      <w:pPr>
        <w:spacing w:line="240" w:lineRule="auto"/>
        <w:rPr>
          <w:rFonts w:ascii="Palatino Linotype" w:hAnsi="Palatino Linotype"/>
        </w:rPr>
      </w:pPr>
      <w:r w:rsidRPr="000B603E">
        <w:rPr>
          <w:rFonts w:ascii="Palatino Linotype" w:hAnsi="Palatino Linotype"/>
        </w:rPr>
        <w:t>Figure 1. Drug Case Statistics Data (2011-2018)</w:t>
      </w:r>
    </w:p>
    <w:p w:rsidR="00D16D39" w:rsidRPr="00D16D39" w:rsidRDefault="00D16D39" w:rsidP="00D16D39">
      <w:pPr>
        <w:spacing w:line="240" w:lineRule="auto"/>
        <w:ind w:firstLine="567"/>
        <w:jc w:val="both"/>
        <w:rPr>
          <w:rFonts w:ascii="Palatino Linotype" w:hAnsi="Palatino Linotype" w:cs="Times New Roman"/>
          <w:szCs w:val="20"/>
        </w:rPr>
      </w:pPr>
      <w:r w:rsidRPr="00D16D39">
        <w:rPr>
          <w:rFonts w:ascii="Palatino Linotype" w:hAnsi="Palatino Linotype" w:cs="Times New Roman"/>
          <w:szCs w:val="20"/>
        </w:rPr>
        <w:t>The highest increase in drug cases occurred in 2013 which was 4,745. In 2018, the number of drug cases was 990, although there was a decrease from the previous year, but the number of cases in 2018 was still concerning and was in dire need of attention for resolution.</w:t>
      </w:r>
    </w:p>
    <w:p w:rsidR="00D16D39" w:rsidRDefault="00D16D39" w:rsidP="00D16D39">
      <w:pPr>
        <w:spacing w:after="0" w:line="240" w:lineRule="auto"/>
        <w:ind w:firstLine="567"/>
        <w:jc w:val="both"/>
        <w:rPr>
          <w:rFonts w:ascii="Palatino Linotype" w:hAnsi="Palatino Linotype" w:cs="Times New Roman"/>
          <w:szCs w:val="20"/>
        </w:rPr>
      </w:pPr>
      <w:r w:rsidRPr="00D16D39">
        <w:rPr>
          <w:rFonts w:ascii="Palatino Linotype" w:hAnsi="Palatino Linotype" w:cs="Times New Roman"/>
          <w:szCs w:val="20"/>
        </w:rPr>
        <w:t>Based on data from the West Sumatra Provincial Narcotics Agency (BNNP) on 18 July 2018, information was obtained that West Sumatra Province occupies the 3rd position of all provinces in In</w:t>
      </w:r>
      <w:r>
        <w:rPr>
          <w:rFonts w:ascii="Palatino Linotype" w:hAnsi="Palatino Linotype" w:cs="Times New Roman"/>
          <w:szCs w:val="20"/>
        </w:rPr>
        <w:t xml:space="preserve">donesia in terms of drug abuse </w:t>
      </w:r>
      <w:r>
        <w:rPr>
          <w:rFonts w:ascii="Palatino Linotype" w:hAnsi="Palatino Linotype" w:cs="Times New Roman"/>
          <w:szCs w:val="20"/>
        </w:rPr>
        <w:fldChar w:fldCharType="begin" w:fldLock="1"/>
      </w:r>
      <w:r>
        <w:rPr>
          <w:rFonts w:ascii="Palatino Linotype" w:hAnsi="Palatino Linotype" w:cs="Times New Roman"/>
          <w:szCs w:val="20"/>
        </w:rPr>
        <w:instrText>ADDIN CSL_CITATION { "citationItems" : [ { "id" : "ITEM-1", "itemData" : { "author" : [ { "dropping-particle" : "", "family" : "BNNP", "given" : "", "non-dropping-particle" : "", "parse-names" : false, "suffix" : "" } ], "container-title" : "https://sumbar.bnn.go.id/", "id" : "ITEM-1", "issued" : { "date-parts" : [ [ "2017" ] ] }, "title" : "Data penyalahgunaan narkoba Provinsi Sumatera Barat", "type" : "webpage" }, "uris" : [ "http://www.mendeley.com/documents/?uuid=8f79ac24-e768-4348-a4ed-45c68d4581b3" ] } ], "mendeley" : { "formattedCitation" : "(BNNP, 2017)", "plainTextFormattedCitation" : "(BNNP, 2017)", "previouslyFormattedCitation" : "(BNNP, 2017)" }, "properties" : { "noteIndex" : 0 }, "schema" : "https://github.com/citation-style-language/schema/raw/master/csl-citation.json" }</w:instrText>
      </w:r>
      <w:r>
        <w:rPr>
          <w:rFonts w:ascii="Palatino Linotype" w:hAnsi="Palatino Linotype" w:cs="Times New Roman"/>
          <w:szCs w:val="20"/>
        </w:rPr>
        <w:fldChar w:fldCharType="separate"/>
      </w:r>
      <w:r w:rsidRPr="00D16D39">
        <w:rPr>
          <w:rFonts w:ascii="Palatino Linotype" w:hAnsi="Palatino Linotype" w:cs="Times New Roman"/>
          <w:noProof/>
          <w:szCs w:val="20"/>
        </w:rPr>
        <w:t>(BNNP, 2017)</w:t>
      </w:r>
      <w:r>
        <w:rPr>
          <w:rFonts w:ascii="Palatino Linotype" w:hAnsi="Palatino Linotype" w:cs="Times New Roman"/>
          <w:szCs w:val="20"/>
        </w:rPr>
        <w:fldChar w:fldCharType="end"/>
      </w:r>
      <w:r w:rsidRPr="00D16D39">
        <w:rPr>
          <w:rFonts w:ascii="Palatino Linotype" w:hAnsi="Palatino Linotype" w:cs="Times New Roman"/>
          <w:szCs w:val="20"/>
        </w:rPr>
        <w:t>. In 2017 there were 269 drug users, consisting of:</w:t>
      </w:r>
    </w:p>
    <w:p w:rsidR="00D16D39" w:rsidRPr="00D16D39" w:rsidRDefault="00D16D39" w:rsidP="00D16D39">
      <w:pPr>
        <w:spacing w:after="0" w:line="240" w:lineRule="auto"/>
        <w:jc w:val="center"/>
        <w:rPr>
          <w:rFonts w:ascii="Palatino Linotype" w:hAnsi="Palatino Linotype" w:cs="Times New Roman"/>
          <w:b/>
          <w:szCs w:val="20"/>
        </w:rPr>
      </w:pPr>
      <w:r w:rsidRPr="00D16D39">
        <w:rPr>
          <w:rFonts w:ascii="Palatino Linotype" w:hAnsi="Palatino Linotype" w:cs="Times New Roman"/>
          <w:b/>
          <w:szCs w:val="20"/>
        </w:rPr>
        <w:t>Table 1. West Sumatera Province drug abuse Data</w:t>
      </w:r>
    </w:p>
    <w:tbl>
      <w:tblPr>
        <w:tblW w:w="9036" w:type="dxa"/>
        <w:jc w:val="center"/>
        <w:tblInd w:w="-2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6"/>
        <w:gridCol w:w="4287"/>
        <w:gridCol w:w="3773"/>
      </w:tblGrid>
      <w:tr w:rsidR="00D16D39" w:rsidRPr="00D16D39" w:rsidTr="00D16D39">
        <w:trPr>
          <w:trHeight w:val="379"/>
          <w:jc w:val="center"/>
        </w:trPr>
        <w:tc>
          <w:tcPr>
            <w:tcW w:w="976" w:type="dxa"/>
            <w:tcBorders>
              <w:left w:val="nil"/>
              <w:right w:val="nil"/>
            </w:tcBorders>
          </w:tcPr>
          <w:p w:rsidR="00D16D39" w:rsidRPr="00D16D39" w:rsidRDefault="00D16D39" w:rsidP="00D16D39">
            <w:pPr>
              <w:pStyle w:val="ListParagraph"/>
              <w:spacing w:after="0" w:line="240" w:lineRule="auto"/>
              <w:ind w:left="0"/>
              <w:jc w:val="center"/>
              <w:rPr>
                <w:rFonts w:ascii="Palatino Linotype" w:hAnsi="Palatino Linotype"/>
                <w:b/>
                <w:color w:val="000000" w:themeColor="text1"/>
              </w:rPr>
            </w:pPr>
            <w:r w:rsidRPr="00D16D39">
              <w:rPr>
                <w:rFonts w:ascii="Palatino Linotype" w:hAnsi="Palatino Linotype"/>
                <w:b/>
                <w:color w:val="000000" w:themeColor="text1"/>
              </w:rPr>
              <w:t>No</w:t>
            </w:r>
          </w:p>
        </w:tc>
        <w:tc>
          <w:tcPr>
            <w:tcW w:w="4287" w:type="dxa"/>
            <w:tcBorders>
              <w:left w:val="nil"/>
              <w:right w:val="nil"/>
            </w:tcBorders>
          </w:tcPr>
          <w:p w:rsidR="00D16D39" w:rsidRPr="00D16D39" w:rsidRDefault="00D16D39" w:rsidP="00D16D39">
            <w:pPr>
              <w:pStyle w:val="ListParagraph"/>
              <w:tabs>
                <w:tab w:val="left" w:pos="480"/>
                <w:tab w:val="center" w:pos="1380"/>
              </w:tabs>
              <w:spacing w:after="0" w:line="240" w:lineRule="auto"/>
              <w:ind w:left="0"/>
              <w:jc w:val="center"/>
              <w:rPr>
                <w:rFonts w:ascii="Palatino Linotype" w:hAnsi="Palatino Linotype"/>
                <w:b/>
                <w:color w:val="000000" w:themeColor="text1"/>
              </w:rPr>
            </w:pPr>
            <w:r w:rsidRPr="00D16D39">
              <w:rPr>
                <w:rFonts w:ascii="Palatino Linotype" w:hAnsi="Palatino Linotype"/>
                <w:b/>
                <w:color w:val="000000" w:themeColor="text1"/>
              </w:rPr>
              <w:t>Cit</w:t>
            </w:r>
            <w:r>
              <w:rPr>
                <w:rFonts w:ascii="Palatino Linotype" w:hAnsi="Palatino Linotype"/>
                <w:b/>
                <w:color w:val="000000" w:themeColor="text1"/>
              </w:rPr>
              <w:t>y/</w:t>
            </w:r>
            <w:r>
              <w:t xml:space="preserve"> </w:t>
            </w:r>
            <w:r w:rsidRPr="00D16D39">
              <w:rPr>
                <w:rFonts w:ascii="Palatino Linotype" w:hAnsi="Palatino Linotype"/>
                <w:b/>
                <w:color w:val="000000" w:themeColor="text1"/>
              </w:rPr>
              <w:t>Districts</w:t>
            </w:r>
          </w:p>
        </w:tc>
        <w:tc>
          <w:tcPr>
            <w:tcW w:w="3773" w:type="dxa"/>
            <w:tcBorders>
              <w:left w:val="nil"/>
              <w:right w:val="nil"/>
            </w:tcBorders>
          </w:tcPr>
          <w:p w:rsidR="00D16D39" w:rsidRPr="00D16D39" w:rsidRDefault="00D16D39" w:rsidP="00D16D39">
            <w:pPr>
              <w:pStyle w:val="ListParagraph"/>
              <w:spacing w:after="0" w:line="240" w:lineRule="auto"/>
              <w:ind w:left="0"/>
              <w:jc w:val="center"/>
              <w:rPr>
                <w:rFonts w:ascii="Palatino Linotype" w:hAnsi="Palatino Linotype"/>
                <w:b/>
                <w:color w:val="000000" w:themeColor="text1"/>
              </w:rPr>
            </w:pPr>
            <w:r w:rsidRPr="00D16D39">
              <w:rPr>
                <w:rFonts w:ascii="Palatino Linotype" w:hAnsi="Palatino Linotype"/>
                <w:b/>
                <w:color w:val="000000" w:themeColor="text1"/>
              </w:rPr>
              <w:t>Number of Users</w:t>
            </w:r>
          </w:p>
        </w:tc>
      </w:tr>
      <w:tr w:rsidR="00D16D39" w:rsidRPr="00D16D39" w:rsidTr="00D16D39">
        <w:trPr>
          <w:jc w:val="center"/>
        </w:trPr>
        <w:tc>
          <w:tcPr>
            <w:tcW w:w="976" w:type="dxa"/>
            <w:tcBorders>
              <w:left w:val="nil"/>
              <w:right w:val="nil"/>
            </w:tcBorders>
          </w:tcPr>
          <w:p w:rsidR="00D16D39" w:rsidRPr="00D16D39" w:rsidRDefault="00D16D39" w:rsidP="00D16D39">
            <w:pPr>
              <w:pStyle w:val="ListParagraph"/>
              <w:spacing w:after="0" w:line="240" w:lineRule="auto"/>
              <w:ind w:left="0"/>
              <w:jc w:val="center"/>
              <w:rPr>
                <w:rFonts w:ascii="Palatino Linotype" w:hAnsi="Palatino Linotype"/>
                <w:color w:val="000000" w:themeColor="text1"/>
              </w:rPr>
            </w:pPr>
            <w:r w:rsidRPr="00D16D39">
              <w:rPr>
                <w:rFonts w:ascii="Palatino Linotype" w:hAnsi="Palatino Linotype"/>
                <w:color w:val="000000" w:themeColor="text1"/>
              </w:rPr>
              <w:t>1</w:t>
            </w:r>
          </w:p>
        </w:tc>
        <w:tc>
          <w:tcPr>
            <w:tcW w:w="4287" w:type="dxa"/>
            <w:tcBorders>
              <w:left w:val="nil"/>
              <w:right w:val="nil"/>
            </w:tcBorders>
          </w:tcPr>
          <w:p w:rsidR="00D16D39" w:rsidRPr="00D16D39" w:rsidRDefault="00D16D39" w:rsidP="00D16D39">
            <w:pPr>
              <w:pStyle w:val="ListParagraph"/>
              <w:spacing w:after="0" w:line="240" w:lineRule="auto"/>
              <w:ind w:left="0"/>
              <w:jc w:val="both"/>
              <w:rPr>
                <w:rFonts w:ascii="Palatino Linotype" w:hAnsi="Palatino Linotype"/>
                <w:color w:val="000000" w:themeColor="text1"/>
              </w:rPr>
            </w:pPr>
            <w:r w:rsidRPr="00D16D39">
              <w:rPr>
                <w:rFonts w:ascii="Palatino Linotype" w:hAnsi="Palatino Linotype"/>
                <w:color w:val="000000" w:themeColor="text1"/>
              </w:rPr>
              <w:t>Padang</w:t>
            </w:r>
          </w:p>
        </w:tc>
        <w:tc>
          <w:tcPr>
            <w:tcW w:w="3773" w:type="dxa"/>
            <w:tcBorders>
              <w:left w:val="nil"/>
              <w:right w:val="nil"/>
            </w:tcBorders>
          </w:tcPr>
          <w:p w:rsidR="00D16D39" w:rsidRPr="00D16D39" w:rsidRDefault="00D16D39" w:rsidP="00D16D39">
            <w:pPr>
              <w:pStyle w:val="ListParagraph"/>
              <w:spacing w:after="0" w:line="240" w:lineRule="auto"/>
              <w:ind w:left="0"/>
              <w:jc w:val="center"/>
              <w:rPr>
                <w:rFonts w:ascii="Palatino Linotype" w:hAnsi="Palatino Linotype"/>
                <w:color w:val="000000" w:themeColor="text1"/>
              </w:rPr>
            </w:pPr>
            <w:r w:rsidRPr="00D16D39">
              <w:rPr>
                <w:rFonts w:ascii="Palatino Linotype" w:hAnsi="Palatino Linotype"/>
                <w:color w:val="000000" w:themeColor="text1"/>
              </w:rPr>
              <w:t>121</w:t>
            </w:r>
          </w:p>
        </w:tc>
      </w:tr>
      <w:tr w:rsidR="00D16D39" w:rsidRPr="00D16D39" w:rsidTr="00D16D39">
        <w:trPr>
          <w:jc w:val="center"/>
        </w:trPr>
        <w:tc>
          <w:tcPr>
            <w:tcW w:w="976" w:type="dxa"/>
            <w:tcBorders>
              <w:left w:val="nil"/>
              <w:right w:val="nil"/>
            </w:tcBorders>
          </w:tcPr>
          <w:p w:rsidR="00D16D39" w:rsidRPr="00D16D39" w:rsidRDefault="00D16D39" w:rsidP="00D16D39">
            <w:pPr>
              <w:pStyle w:val="ListParagraph"/>
              <w:spacing w:after="0" w:line="240" w:lineRule="auto"/>
              <w:ind w:left="0"/>
              <w:jc w:val="center"/>
              <w:rPr>
                <w:rFonts w:ascii="Palatino Linotype" w:hAnsi="Palatino Linotype"/>
                <w:color w:val="000000" w:themeColor="text1"/>
              </w:rPr>
            </w:pPr>
            <w:r w:rsidRPr="00D16D39">
              <w:rPr>
                <w:rFonts w:ascii="Palatino Linotype" w:hAnsi="Palatino Linotype"/>
                <w:color w:val="000000" w:themeColor="text1"/>
              </w:rPr>
              <w:t>2</w:t>
            </w:r>
          </w:p>
        </w:tc>
        <w:tc>
          <w:tcPr>
            <w:tcW w:w="4287" w:type="dxa"/>
            <w:tcBorders>
              <w:left w:val="nil"/>
              <w:right w:val="nil"/>
            </w:tcBorders>
          </w:tcPr>
          <w:p w:rsidR="00D16D39" w:rsidRPr="00D16D39" w:rsidRDefault="00D16D39" w:rsidP="00D16D39">
            <w:pPr>
              <w:pStyle w:val="ListParagraph"/>
              <w:spacing w:after="0" w:line="240" w:lineRule="auto"/>
              <w:ind w:left="0"/>
              <w:jc w:val="both"/>
              <w:rPr>
                <w:rFonts w:ascii="Palatino Linotype" w:hAnsi="Palatino Linotype"/>
                <w:color w:val="000000" w:themeColor="text1"/>
              </w:rPr>
            </w:pPr>
            <w:r w:rsidRPr="00D16D39">
              <w:rPr>
                <w:rFonts w:ascii="Palatino Linotype" w:hAnsi="Palatino Linotype"/>
                <w:color w:val="000000" w:themeColor="text1"/>
              </w:rPr>
              <w:t>Payakumbuh</w:t>
            </w:r>
          </w:p>
        </w:tc>
        <w:tc>
          <w:tcPr>
            <w:tcW w:w="3773" w:type="dxa"/>
            <w:tcBorders>
              <w:left w:val="nil"/>
              <w:right w:val="nil"/>
            </w:tcBorders>
          </w:tcPr>
          <w:p w:rsidR="00D16D39" w:rsidRPr="00D16D39" w:rsidRDefault="00D16D39" w:rsidP="00D16D39">
            <w:pPr>
              <w:pStyle w:val="ListParagraph"/>
              <w:spacing w:after="0" w:line="240" w:lineRule="auto"/>
              <w:ind w:left="0"/>
              <w:jc w:val="center"/>
              <w:rPr>
                <w:rFonts w:ascii="Palatino Linotype" w:hAnsi="Palatino Linotype"/>
                <w:color w:val="000000" w:themeColor="text1"/>
              </w:rPr>
            </w:pPr>
            <w:r w:rsidRPr="00D16D39">
              <w:rPr>
                <w:rFonts w:ascii="Palatino Linotype" w:hAnsi="Palatino Linotype"/>
                <w:color w:val="000000" w:themeColor="text1"/>
              </w:rPr>
              <w:t>68</w:t>
            </w:r>
          </w:p>
        </w:tc>
      </w:tr>
      <w:tr w:rsidR="00D16D39" w:rsidRPr="00D16D39" w:rsidTr="00D16D39">
        <w:trPr>
          <w:jc w:val="center"/>
        </w:trPr>
        <w:tc>
          <w:tcPr>
            <w:tcW w:w="976" w:type="dxa"/>
            <w:tcBorders>
              <w:left w:val="nil"/>
              <w:right w:val="nil"/>
            </w:tcBorders>
          </w:tcPr>
          <w:p w:rsidR="00D16D39" w:rsidRPr="00D16D39" w:rsidRDefault="00D16D39" w:rsidP="00D16D39">
            <w:pPr>
              <w:pStyle w:val="ListParagraph"/>
              <w:spacing w:after="0" w:line="240" w:lineRule="auto"/>
              <w:ind w:left="0"/>
              <w:jc w:val="center"/>
              <w:rPr>
                <w:rFonts w:ascii="Palatino Linotype" w:hAnsi="Palatino Linotype"/>
                <w:color w:val="000000" w:themeColor="text1"/>
              </w:rPr>
            </w:pPr>
            <w:r w:rsidRPr="00D16D39">
              <w:rPr>
                <w:rFonts w:ascii="Palatino Linotype" w:hAnsi="Palatino Linotype"/>
                <w:color w:val="000000" w:themeColor="text1"/>
              </w:rPr>
              <w:t>3</w:t>
            </w:r>
          </w:p>
        </w:tc>
        <w:tc>
          <w:tcPr>
            <w:tcW w:w="4287" w:type="dxa"/>
            <w:tcBorders>
              <w:left w:val="nil"/>
              <w:right w:val="nil"/>
            </w:tcBorders>
          </w:tcPr>
          <w:p w:rsidR="00D16D39" w:rsidRPr="00D16D39" w:rsidRDefault="00D16D39" w:rsidP="00D16D39">
            <w:pPr>
              <w:pStyle w:val="ListParagraph"/>
              <w:spacing w:after="0" w:line="240" w:lineRule="auto"/>
              <w:ind w:left="0"/>
              <w:jc w:val="both"/>
              <w:rPr>
                <w:rFonts w:ascii="Palatino Linotype" w:hAnsi="Palatino Linotype"/>
                <w:color w:val="000000" w:themeColor="text1"/>
              </w:rPr>
            </w:pPr>
            <w:r w:rsidRPr="00D16D39">
              <w:rPr>
                <w:rFonts w:ascii="Palatino Linotype" w:hAnsi="Palatino Linotype"/>
                <w:color w:val="000000" w:themeColor="text1"/>
              </w:rPr>
              <w:t>Padang Pariaman</w:t>
            </w:r>
          </w:p>
        </w:tc>
        <w:tc>
          <w:tcPr>
            <w:tcW w:w="3773" w:type="dxa"/>
            <w:tcBorders>
              <w:left w:val="nil"/>
              <w:right w:val="nil"/>
            </w:tcBorders>
          </w:tcPr>
          <w:p w:rsidR="00D16D39" w:rsidRPr="00D16D39" w:rsidRDefault="00D16D39" w:rsidP="00D16D39">
            <w:pPr>
              <w:pStyle w:val="ListParagraph"/>
              <w:spacing w:after="0" w:line="240" w:lineRule="auto"/>
              <w:ind w:left="0"/>
              <w:jc w:val="center"/>
              <w:rPr>
                <w:rFonts w:ascii="Palatino Linotype" w:hAnsi="Palatino Linotype"/>
                <w:color w:val="000000" w:themeColor="text1"/>
              </w:rPr>
            </w:pPr>
            <w:r w:rsidRPr="00D16D39">
              <w:rPr>
                <w:rFonts w:ascii="Palatino Linotype" w:hAnsi="Palatino Linotype"/>
                <w:color w:val="000000" w:themeColor="text1"/>
              </w:rPr>
              <w:t>21</w:t>
            </w:r>
          </w:p>
        </w:tc>
      </w:tr>
      <w:tr w:rsidR="00D16D39" w:rsidRPr="00D16D39" w:rsidTr="00D16D39">
        <w:trPr>
          <w:jc w:val="center"/>
        </w:trPr>
        <w:tc>
          <w:tcPr>
            <w:tcW w:w="976" w:type="dxa"/>
            <w:tcBorders>
              <w:left w:val="nil"/>
              <w:right w:val="nil"/>
            </w:tcBorders>
          </w:tcPr>
          <w:p w:rsidR="00D16D39" w:rsidRPr="00D16D39" w:rsidRDefault="00D16D39" w:rsidP="00D16D39">
            <w:pPr>
              <w:pStyle w:val="ListParagraph"/>
              <w:spacing w:after="0" w:line="240" w:lineRule="auto"/>
              <w:ind w:left="0"/>
              <w:jc w:val="center"/>
              <w:rPr>
                <w:rFonts w:ascii="Palatino Linotype" w:hAnsi="Palatino Linotype"/>
                <w:color w:val="000000" w:themeColor="text1"/>
              </w:rPr>
            </w:pPr>
            <w:r w:rsidRPr="00D16D39">
              <w:rPr>
                <w:rFonts w:ascii="Palatino Linotype" w:hAnsi="Palatino Linotype"/>
                <w:color w:val="000000" w:themeColor="text1"/>
              </w:rPr>
              <w:t>4</w:t>
            </w:r>
          </w:p>
        </w:tc>
        <w:tc>
          <w:tcPr>
            <w:tcW w:w="4287" w:type="dxa"/>
            <w:tcBorders>
              <w:left w:val="nil"/>
              <w:right w:val="nil"/>
            </w:tcBorders>
          </w:tcPr>
          <w:p w:rsidR="00D16D39" w:rsidRPr="00D16D39" w:rsidRDefault="00D16D39" w:rsidP="00D16D39">
            <w:pPr>
              <w:pStyle w:val="ListParagraph"/>
              <w:spacing w:after="0" w:line="240" w:lineRule="auto"/>
              <w:ind w:left="0"/>
              <w:jc w:val="both"/>
              <w:rPr>
                <w:rFonts w:ascii="Palatino Linotype" w:hAnsi="Palatino Linotype"/>
                <w:color w:val="000000" w:themeColor="text1"/>
              </w:rPr>
            </w:pPr>
            <w:r w:rsidRPr="00D16D39">
              <w:rPr>
                <w:rFonts w:ascii="Palatino Linotype" w:hAnsi="Palatino Linotype"/>
                <w:color w:val="000000" w:themeColor="text1"/>
              </w:rPr>
              <w:t>Sawahlunto</w:t>
            </w:r>
          </w:p>
        </w:tc>
        <w:tc>
          <w:tcPr>
            <w:tcW w:w="3773" w:type="dxa"/>
            <w:tcBorders>
              <w:left w:val="nil"/>
              <w:right w:val="nil"/>
            </w:tcBorders>
          </w:tcPr>
          <w:p w:rsidR="00D16D39" w:rsidRPr="00D16D39" w:rsidRDefault="00D16D39" w:rsidP="00D16D39">
            <w:pPr>
              <w:pStyle w:val="ListParagraph"/>
              <w:spacing w:after="0" w:line="240" w:lineRule="auto"/>
              <w:ind w:left="0"/>
              <w:jc w:val="center"/>
              <w:rPr>
                <w:rFonts w:ascii="Palatino Linotype" w:hAnsi="Palatino Linotype"/>
                <w:color w:val="000000" w:themeColor="text1"/>
              </w:rPr>
            </w:pPr>
            <w:r w:rsidRPr="00D16D39">
              <w:rPr>
                <w:rFonts w:ascii="Palatino Linotype" w:hAnsi="Palatino Linotype"/>
                <w:color w:val="000000" w:themeColor="text1"/>
              </w:rPr>
              <w:t>34</w:t>
            </w:r>
          </w:p>
        </w:tc>
      </w:tr>
      <w:tr w:rsidR="00D16D39" w:rsidRPr="00D16D39" w:rsidTr="00D16D39">
        <w:trPr>
          <w:jc w:val="center"/>
        </w:trPr>
        <w:tc>
          <w:tcPr>
            <w:tcW w:w="976" w:type="dxa"/>
            <w:tcBorders>
              <w:left w:val="nil"/>
              <w:right w:val="nil"/>
            </w:tcBorders>
          </w:tcPr>
          <w:p w:rsidR="00D16D39" w:rsidRPr="00D16D39" w:rsidRDefault="00D16D39" w:rsidP="00D16D39">
            <w:pPr>
              <w:pStyle w:val="ListParagraph"/>
              <w:spacing w:after="0" w:line="240" w:lineRule="auto"/>
              <w:ind w:left="0"/>
              <w:jc w:val="center"/>
              <w:rPr>
                <w:rFonts w:ascii="Palatino Linotype" w:hAnsi="Palatino Linotype"/>
                <w:color w:val="000000" w:themeColor="text1"/>
              </w:rPr>
            </w:pPr>
            <w:r w:rsidRPr="00D16D39">
              <w:rPr>
                <w:rFonts w:ascii="Palatino Linotype" w:hAnsi="Palatino Linotype"/>
                <w:color w:val="000000" w:themeColor="text1"/>
              </w:rPr>
              <w:t>5</w:t>
            </w:r>
          </w:p>
        </w:tc>
        <w:tc>
          <w:tcPr>
            <w:tcW w:w="4287" w:type="dxa"/>
            <w:tcBorders>
              <w:left w:val="nil"/>
              <w:right w:val="nil"/>
            </w:tcBorders>
          </w:tcPr>
          <w:p w:rsidR="00D16D39" w:rsidRPr="00D16D39" w:rsidRDefault="00D16D39" w:rsidP="00D16D39">
            <w:pPr>
              <w:pStyle w:val="ListParagraph"/>
              <w:spacing w:after="0" w:line="240" w:lineRule="auto"/>
              <w:ind w:left="0"/>
              <w:jc w:val="both"/>
              <w:rPr>
                <w:rFonts w:ascii="Palatino Linotype" w:hAnsi="Palatino Linotype"/>
                <w:color w:val="000000" w:themeColor="text1"/>
              </w:rPr>
            </w:pPr>
            <w:r w:rsidRPr="00D16D39">
              <w:rPr>
                <w:rFonts w:ascii="Palatino Linotype" w:hAnsi="Palatino Linotype"/>
                <w:color w:val="000000" w:themeColor="text1"/>
              </w:rPr>
              <w:t>Painan</w:t>
            </w:r>
          </w:p>
        </w:tc>
        <w:tc>
          <w:tcPr>
            <w:tcW w:w="3773" w:type="dxa"/>
            <w:tcBorders>
              <w:left w:val="nil"/>
              <w:right w:val="nil"/>
            </w:tcBorders>
          </w:tcPr>
          <w:p w:rsidR="00D16D39" w:rsidRPr="00D16D39" w:rsidRDefault="00D16D39" w:rsidP="00D16D39">
            <w:pPr>
              <w:pStyle w:val="ListParagraph"/>
              <w:spacing w:after="0" w:line="240" w:lineRule="auto"/>
              <w:ind w:left="0"/>
              <w:jc w:val="center"/>
              <w:rPr>
                <w:rFonts w:ascii="Palatino Linotype" w:hAnsi="Palatino Linotype"/>
                <w:color w:val="000000" w:themeColor="text1"/>
              </w:rPr>
            </w:pPr>
            <w:r w:rsidRPr="00D16D39">
              <w:rPr>
                <w:rFonts w:ascii="Palatino Linotype" w:hAnsi="Palatino Linotype"/>
                <w:color w:val="000000" w:themeColor="text1"/>
              </w:rPr>
              <w:t>18</w:t>
            </w:r>
          </w:p>
        </w:tc>
      </w:tr>
      <w:tr w:rsidR="00D16D39" w:rsidRPr="00D16D39" w:rsidTr="00D16D39">
        <w:trPr>
          <w:jc w:val="center"/>
        </w:trPr>
        <w:tc>
          <w:tcPr>
            <w:tcW w:w="976" w:type="dxa"/>
            <w:tcBorders>
              <w:left w:val="nil"/>
              <w:right w:val="nil"/>
            </w:tcBorders>
          </w:tcPr>
          <w:p w:rsidR="00D16D39" w:rsidRPr="00D16D39" w:rsidRDefault="00D16D39" w:rsidP="00D16D39">
            <w:pPr>
              <w:pStyle w:val="ListParagraph"/>
              <w:spacing w:after="0" w:line="240" w:lineRule="auto"/>
              <w:ind w:left="0"/>
              <w:jc w:val="center"/>
              <w:rPr>
                <w:rFonts w:ascii="Palatino Linotype" w:hAnsi="Palatino Linotype"/>
                <w:color w:val="000000" w:themeColor="text1"/>
              </w:rPr>
            </w:pPr>
            <w:r w:rsidRPr="00D16D39">
              <w:rPr>
                <w:rFonts w:ascii="Palatino Linotype" w:hAnsi="Palatino Linotype"/>
                <w:color w:val="000000" w:themeColor="text1"/>
              </w:rPr>
              <w:t>6</w:t>
            </w:r>
          </w:p>
        </w:tc>
        <w:tc>
          <w:tcPr>
            <w:tcW w:w="4287" w:type="dxa"/>
            <w:tcBorders>
              <w:left w:val="nil"/>
              <w:right w:val="nil"/>
            </w:tcBorders>
          </w:tcPr>
          <w:p w:rsidR="00D16D39" w:rsidRPr="00D16D39" w:rsidRDefault="00D16D39" w:rsidP="00D16D39">
            <w:pPr>
              <w:pStyle w:val="ListParagraph"/>
              <w:spacing w:after="0" w:line="240" w:lineRule="auto"/>
              <w:ind w:left="0"/>
              <w:jc w:val="both"/>
              <w:rPr>
                <w:rFonts w:ascii="Palatino Linotype" w:hAnsi="Palatino Linotype"/>
                <w:color w:val="000000" w:themeColor="text1"/>
              </w:rPr>
            </w:pPr>
            <w:r w:rsidRPr="00D16D39">
              <w:rPr>
                <w:rFonts w:ascii="Palatino Linotype" w:hAnsi="Palatino Linotype"/>
                <w:color w:val="000000" w:themeColor="text1"/>
              </w:rPr>
              <w:t>Bukittinggi</w:t>
            </w:r>
          </w:p>
        </w:tc>
        <w:tc>
          <w:tcPr>
            <w:tcW w:w="3773" w:type="dxa"/>
            <w:tcBorders>
              <w:left w:val="nil"/>
              <w:right w:val="nil"/>
            </w:tcBorders>
          </w:tcPr>
          <w:p w:rsidR="00D16D39" w:rsidRPr="00D16D39" w:rsidRDefault="00D16D39" w:rsidP="00D16D39">
            <w:pPr>
              <w:pStyle w:val="ListParagraph"/>
              <w:spacing w:after="0" w:line="240" w:lineRule="auto"/>
              <w:ind w:left="0"/>
              <w:jc w:val="center"/>
              <w:rPr>
                <w:rFonts w:ascii="Palatino Linotype" w:hAnsi="Palatino Linotype"/>
                <w:color w:val="000000" w:themeColor="text1"/>
              </w:rPr>
            </w:pPr>
            <w:r w:rsidRPr="00D16D39">
              <w:rPr>
                <w:rFonts w:ascii="Palatino Linotype" w:hAnsi="Palatino Linotype"/>
                <w:color w:val="000000" w:themeColor="text1"/>
              </w:rPr>
              <w:t>43</w:t>
            </w:r>
          </w:p>
        </w:tc>
      </w:tr>
    </w:tbl>
    <w:p w:rsidR="00D16D39" w:rsidRPr="00D16D39" w:rsidRDefault="00D16D39" w:rsidP="00D16D39">
      <w:pPr>
        <w:spacing w:after="0" w:line="240" w:lineRule="auto"/>
        <w:rPr>
          <w:rFonts w:ascii="Palatino Linotype" w:hAnsi="Palatino Linotype" w:cs="Times New Roman"/>
          <w:szCs w:val="20"/>
        </w:rPr>
      </w:pPr>
      <w:r w:rsidRPr="00D87B8C">
        <w:rPr>
          <w:rFonts w:ascii="Palatino Linotype" w:hAnsi="Palatino Linotype" w:cs="Times New Roman"/>
          <w:szCs w:val="20"/>
        </w:rPr>
        <w:t>Source</w:t>
      </w:r>
      <w:r w:rsidRPr="00997DB1">
        <w:rPr>
          <w:rFonts w:ascii="Calisto MT" w:hAnsi="Calisto MT"/>
          <w:color w:val="000000" w:themeColor="text1"/>
          <w:sz w:val="20"/>
          <w:szCs w:val="20"/>
        </w:rPr>
        <w:t xml:space="preserve">: </w:t>
      </w:r>
      <w:r w:rsidRPr="00D16D39">
        <w:rPr>
          <w:rFonts w:ascii="Palatino Linotype" w:hAnsi="Palatino Linotype"/>
          <w:color w:val="000000" w:themeColor="text1"/>
        </w:rPr>
        <w:t>Badan Narkotika Nasional Provinsi Sumbar 2017</w:t>
      </w:r>
    </w:p>
    <w:p w:rsidR="00D16D39" w:rsidRPr="00947365" w:rsidRDefault="00D16D39" w:rsidP="00D87B8C">
      <w:pPr>
        <w:spacing w:after="0" w:line="240" w:lineRule="auto"/>
        <w:jc w:val="both"/>
        <w:rPr>
          <w:rFonts w:ascii="Palatino Linotype" w:hAnsi="Palatino Linotype" w:cs="Times New Roman"/>
          <w:szCs w:val="20"/>
          <w:lang w:val="en-US"/>
        </w:rPr>
      </w:pPr>
    </w:p>
    <w:p w:rsidR="00C73E08" w:rsidRDefault="00C73E08" w:rsidP="00C73E08">
      <w:pPr>
        <w:spacing w:line="240" w:lineRule="auto"/>
        <w:ind w:firstLine="567"/>
        <w:jc w:val="both"/>
        <w:rPr>
          <w:rFonts w:ascii="Palatino Linotype" w:hAnsi="Palatino Linotype"/>
        </w:rPr>
      </w:pPr>
      <w:r w:rsidRPr="00C73E08">
        <w:rPr>
          <w:rFonts w:ascii="Palatino Linotype" w:hAnsi="Palatino Linotype"/>
        </w:rPr>
        <w:t>Based on the data it can be noted that the city of Padang occupies the first position of the entire city/district in West Sumatra in the case of drug ab</w:t>
      </w:r>
      <w:r>
        <w:rPr>
          <w:rFonts w:ascii="Palatino Linotype" w:hAnsi="Palatino Linotype"/>
        </w:rPr>
        <w:t xml:space="preserve">use with a total of 121 people </w:t>
      </w:r>
      <w:r>
        <w:rPr>
          <w:rFonts w:ascii="Palatino Linotype" w:hAnsi="Palatino Linotype"/>
        </w:rPr>
        <w:fldChar w:fldCharType="begin" w:fldLock="1"/>
      </w:r>
      <w:r>
        <w:rPr>
          <w:rFonts w:ascii="Palatino Linotype" w:hAnsi="Palatino Linotype"/>
        </w:rPr>
        <w:instrText>ADDIN CSL_CITATION { "citationItems" : [ { "id" : "ITEM-1", "itemData" : { "author" : [ { "dropping-particle" : "", "family" : "BNNP", "given" : "", "non-dropping-particle" : "", "parse-names" : false, "suffix" : "" } ], "container-title" : "https://sumbar.bnn.go.id/", "id" : "ITEM-1", "issued" : { "date-parts" : [ [ "2017" ] ] }, "title" : "Data penyalahgunaan narkoba Provinsi Sumatera Barat", "type" : "webpage" }, "uris" : [ "http://www.mendeley.com/documents/?uuid=8f79ac24-e768-4348-a4ed-45c68d4581b3" ] } ], "mendeley" : { "formattedCitation" : "(BNNP, 2017)", "plainTextFormattedCitation" : "(BNNP, 2017)", "previouslyFormattedCitation" : "(BNNP, 2017)" }, "properties" : { "noteIndex" : 0 }, "schema" : "https://github.com/citation-style-language/schema/raw/master/csl-citation.json" }</w:instrText>
      </w:r>
      <w:r>
        <w:rPr>
          <w:rFonts w:ascii="Palatino Linotype" w:hAnsi="Palatino Linotype"/>
        </w:rPr>
        <w:fldChar w:fldCharType="separate"/>
      </w:r>
      <w:r w:rsidRPr="00C73E08">
        <w:rPr>
          <w:rFonts w:ascii="Palatino Linotype" w:hAnsi="Palatino Linotype"/>
          <w:noProof/>
        </w:rPr>
        <w:t>(BNNP, 2017)</w:t>
      </w:r>
      <w:r>
        <w:rPr>
          <w:rFonts w:ascii="Palatino Linotype" w:hAnsi="Palatino Linotype"/>
        </w:rPr>
        <w:fldChar w:fldCharType="end"/>
      </w:r>
      <w:r w:rsidRPr="00C73E08">
        <w:rPr>
          <w:rFonts w:ascii="Palatino Linotype" w:hAnsi="Palatino Linotype"/>
        </w:rPr>
        <w:t>.</w:t>
      </w:r>
    </w:p>
    <w:p w:rsidR="00C73E08" w:rsidRPr="00C73E08" w:rsidRDefault="00C73E08" w:rsidP="00446601">
      <w:pPr>
        <w:spacing w:line="240" w:lineRule="auto"/>
        <w:ind w:firstLine="567"/>
        <w:jc w:val="both"/>
        <w:rPr>
          <w:rFonts w:ascii="Palatino Linotype" w:hAnsi="Palatino Linotype"/>
        </w:rPr>
      </w:pPr>
      <w:r w:rsidRPr="00C73E08">
        <w:rPr>
          <w:rFonts w:ascii="Palatino Linotype" w:hAnsi="Palatino Linotype"/>
        </w:rPr>
        <w:t>Adolescents become one of the g</w:t>
      </w:r>
      <w:r>
        <w:rPr>
          <w:rFonts w:ascii="Palatino Linotype" w:hAnsi="Palatino Linotype"/>
        </w:rPr>
        <w:t xml:space="preserve">roups vulnerable to drug abuse </w:t>
      </w:r>
      <w:r>
        <w:rPr>
          <w:rFonts w:ascii="Palatino Linotype" w:hAnsi="Palatino Linotype"/>
        </w:rPr>
        <w:fldChar w:fldCharType="begin" w:fldLock="1"/>
      </w:r>
      <w:r>
        <w:rPr>
          <w:rFonts w:ascii="Palatino Linotype" w:hAnsi="Palatino Linotype"/>
        </w:rPr>
        <w:instrText>ADDIN CSL_CITATION { "citationItems" : [ { "id" : "ITEM-1", "itemData" : { "author" : [ { "dropping-particle" : "", "family" : "BNN", "given" : "", "non-dropping-particle" : "", "parse-names" : false, "suffix" : "" } ], "id" : "ITEM-1", "issued" : { "date-parts" : [ [ "2017" ] ] }, "publisher" : "BNNRI", "publisher-place" : "Jakarta", "title" : "Pedoman pencegahan penyalahgunaan narkoba bagi remaja", "type" : "book" }, "uris" : [ "http://www.mendeley.com/documents/?uuid=d673d523-19dd-48f7-993c-2b9b0191f2a0" ] } ], "mendeley" : { "formattedCitation" : "(BNN, 2017)", "plainTextFormattedCitation" : "(BNN, 2017)", "previouslyFormattedCitation" : "(BNN, 2017)" }, "properties" : { "noteIndex" : 0 }, "schema" : "https://github.com/citation-style-language/schema/raw/master/csl-citation.json" }</w:instrText>
      </w:r>
      <w:r>
        <w:rPr>
          <w:rFonts w:ascii="Palatino Linotype" w:hAnsi="Palatino Linotype"/>
        </w:rPr>
        <w:fldChar w:fldCharType="separate"/>
      </w:r>
      <w:r w:rsidRPr="00C73E08">
        <w:rPr>
          <w:rFonts w:ascii="Palatino Linotype" w:hAnsi="Palatino Linotype"/>
          <w:noProof/>
        </w:rPr>
        <w:t>(BNN, 2017)</w:t>
      </w:r>
      <w:r>
        <w:rPr>
          <w:rFonts w:ascii="Palatino Linotype" w:hAnsi="Palatino Linotype"/>
        </w:rPr>
        <w:fldChar w:fldCharType="end"/>
      </w:r>
      <w:r w:rsidRPr="00C73E08">
        <w:rPr>
          <w:rFonts w:ascii="Palatino Linotype" w:hAnsi="Palatino Linotype"/>
        </w:rPr>
        <w:t>. The head of the National Narcotics Agency (BNN) explains that narcotics abuse among adolescents is increasing. An increase of 24 to 28 percent of adolescents using narcotics. Adolescents who are exposed to narcotics are more</w:t>
      </w:r>
      <w:r>
        <w:rPr>
          <w:rFonts w:ascii="Palatino Linotype" w:hAnsi="Palatino Linotype"/>
        </w:rPr>
        <w:t xml:space="preserve"> vulnerable as long-term users </w:t>
      </w:r>
      <w:r>
        <w:rPr>
          <w:rFonts w:ascii="Palatino Linotype" w:hAnsi="Palatino Linotype"/>
        </w:rPr>
        <w:fldChar w:fldCharType="begin" w:fldLock="1"/>
      </w:r>
      <w:r>
        <w:rPr>
          <w:rFonts w:ascii="Palatino Linotype" w:hAnsi="Palatino Linotype"/>
        </w:rPr>
        <w:instrText>ADDIN CSL_CITATION { "citationItems" : [ { "id" : "ITEM-1", "itemData" : { "author" : [ { "dropping-particle" : "", "family" : "BNN", "given" : "", "non-dropping-particle" : "", "parse-names" : false, "suffix" : "" } ], "container-title" : "https://puslitdatin.bnn.go.id/portfolio/data-statistik-kasus-narkoba/", "id" : "ITEM-1", "issued" : { "date-parts" : [ [ "2019" ] ] }, "title" : "Data statistik kasus narkoba", "type" : "webpage" }, "uris" : [ "http://www.mendeley.com/documents/?uuid=4528e4a3-3027-4b62-9408-4598012990c3" ] } ], "mendeley" : { "formattedCitation" : "(BNN, 2019)", "plainTextFormattedCitation" : "(BNN, 2019)", "previouslyFormattedCitation" : "(BNN, 2019)" }, "properties" : { "noteIndex" : 0 }, "schema" : "https://github.com/citation-style-language/schema/raw/master/csl-citation.json" }</w:instrText>
      </w:r>
      <w:r>
        <w:rPr>
          <w:rFonts w:ascii="Palatino Linotype" w:hAnsi="Palatino Linotype"/>
        </w:rPr>
        <w:fldChar w:fldCharType="separate"/>
      </w:r>
      <w:r w:rsidRPr="00C73E08">
        <w:rPr>
          <w:rFonts w:ascii="Palatino Linotype" w:hAnsi="Palatino Linotype"/>
          <w:noProof/>
        </w:rPr>
        <w:t>(BNN, 2019)</w:t>
      </w:r>
      <w:r>
        <w:rPr>
          <w:rFonts w:ascii="Palatino Linotype" w:hAnsi="Palatino Linotype"/>
        </w:rPr>
        <w:fldChar w:fldCharType="end"/>
      </w:r>
      <w:r w:rsidRPr="00C73E08">
        <w:rPr>
          <w:rFonts w:ascii="Palatino Linotype" w:hAnsi="Palatino Linotype"/>
        </w:rPr>
        <w:t>.</w:t>
      </w:r>
    </w:p>
    <w:p w:rsidR="00446601" w:rsidRPr="00446601" w:rsidRDefault="00446601" w:rsidP="00446601">
      <w:pPr>
        <w:spacing w:after="120" w:line="240" w:lineRule="auto"/>
        <w:ind w:firstLine="284"/>
        <w:jc w:val="both"/>
        <w:rPr>
          <w:rFonts w:ascii="Palatino Linotype" w:hAnsi="Palatino Linotype" w:cs="Times New Roman"/>
          <w:szCs w:val="20"/>
        </w:rPr>
      </w:pPr>
      <w:r w:rsidRPr="00446601">
        <w:rPr>
          <w:rFonts w:ascii="Palatino Linotype" w:hAnsi="Palatino Linotype" w:cs="Times New Roman"/>
          <w:szCs w:val="20"/>
        </w:rPr>
        <w:lastRenderedPageBreak/>
        <w:t>Adolescence affects the anticipatory behaviors to the dangers of drug abuse. Muslihatun &amp; Santi research results shows that the majority of adolescents (60.81%) Have an unanticipatory behaviour towards the dangers of drug abuse, so that the majority of perpetrators in drug abuse are young people and adolescent</w:t>
      </w:r>
      <w:r>
        <w:rPr>
          <w:rFonts w:ascii="Palatino Linotype" w:hAnsi="Palatino Linotype" w:cs="Times New Roman"/>
          <w:szCs w:val="20"/>
        </w:rPr>
        <w:t xml:space="preserve"> </w:t>
      </w:r>
      <w:r>
        <w:rPr>
          <w:rFonts w:ascii="Palatino Linotype" w:hAnsi="Palatino Linotype" w:cs="Times New Roman"/>
          <w:szCs w:val="20"/>
        </w:rPr>
        <w:fldChar w:fldCharType="begin" w:fldLock="1"/>
      </w:r>
      <w:r>
        <w:rPr>
          <w:rFonts w:ascii="Palatino Linotype" w:hAnsi="Palatino Linotype" w:cs="Times New Roman"/>
          <w:szCs w:val="20"/>
        </w:rPr>
        <w:instrText>ADDIN CSL_CITATION { "citationItems" : [ { "id" : "ITEM-1", "itemData" : { "author" : [ { "dropping-particle" : "", "family" : "Muslihatun, W. N., &amp; Santi", "given" : "M. Y", "non-dropping-particle" : "", "parse-names" : false, "suffix" : "" } ], "id" : "ITEM-1", "issue" : "1", "issued" : { "date-parts" : [ [ "2015" ] ] }, "page" : "41-50", "title" : "Antisipasi Remaja Terhadap Bahaya Penyalahgunaan Narkoba dalam Triad Kesehatan Reproduksi Remaja di Sleman", "type" : "article-journal", "volume" : "11" }, "uris" : [ "http://www.mendeley.com/documents/?uuid=3f1a1a61-411f-4777-995d-c4d3fd2ffd2b" ] } ], "mendeley" : { "formattedCitation" : "(Muslihatun, W. N., &amp; Santi, 2015)", "plainTextFormattedCitation" : "(Muslihatun, W. N., &amp; Santi, 2015)", "previouslyFormattedCitation" : "(Muslihatun, W. N., &amp; Santi, 2015)" }, "properties" : { "noteIndex" : 0 }, "schema" : "https://github.com/citation-style-language/schema/raw/master/csl-citation.json" }</w:instrText>
      </w:r>
      <w:r>
        <w:rPr>
          <w:rFonts w:ascii="Palatino Linotype" w:hAnsi="Palatino Linotype" w:cs="Times New Roman"/>
          <w:szCs w:val="20"/>
        </w:rPr>
        <w:fldChar w:fldCharType="separate"/>
      </w:r>
      <w:r w:rsidRPr="00446601">
        <w:rPr>
          <w:rFonts w:ascii="Palatino Linotype" w:hAnsi="Palatino Linotype" w:cs="Times New Roman"/>
          <w:noProof/>
          <w:szCs w:val="20"/>
        </w:rPr>
        <w:t>(Muslihatun, W. N., &amp; Santi, 2015)</w:t>
      </w:r>
      <w:r>
        <w:rPr>
          <w:rFonts w:ascii="Palatino Linotype" w:hAnsi="Palatino Linotype" w:cs="Times New Roman"/>
          <w:szCs w:val="20"/>
        </w:rPr>
        <w:fldChar w:fldCharType="end"/>
      </w:r>
      <w:r w:rsidRPr="00446601">
        <w:rPr>
          <w:rFonts w:ascii="Palatino Linotype" w:hAnsi="Palatino Linotype" w:cs="Times New Roman"/>
          <w:szCs w:val="20"/>
        </w:rPr>
        <w:t xml:space="preserve">. Most likely this is due to the social condition of psychology that requires the recognition of identity and </w:t>
      </w:r>
      <w:r>
        <w:rPr>
          <w:rFonts w:ascii="Palatino Linotype" w:hAnsi="Palatino Linotype" w:cs="Times New Roman"/>
          <w:szCs w:val="20"/>
        </w:rPr>
        <w:t xml:space="preserve">emotion that is still lability </w:t>
      </w:r>
      <w:r>
        <w:rPr>
          <w:rFonts w:ascii="Palatino Linotype" w:hAnsi="Palatino Linotype" w:cs="Times New Roman"/>
          <w:szCs w:val="20"/>
        </w:rPr>
        <w:fldChar w:fldCharType="begin" w:fldLock="1"/>
      </w:r>
      <w:r>
        <w:rPr>
          <w:rFonts w:ascii="Palatino Linotype" w:hAnsi="Palatino Linotype" w:cs="Times New Roman"/>
          <w:szCs w:val="20"/>
        </w:rPr>
        <w:instrText>ADDIN CSL_CITATION { "citationItems" : [ { "id" : "ITEM-1", "itemData" : { "author" : [ { "dropping-particle" : "", "family" : "Siregar", "given" : "M", "non-dropping-particle" : "", "parse-names" : false, "suffix" : "" } ], "container-title" : "Jurnal Pemberdayaan Komunitas", "id" : "ITEM-1", "issue" : "2", "issued" : { "date-parts" : [ [ "2004" ] ] }, "page" : "100-105", "title" : "Faktor-faktor yang mempengaruhi penyalahgunaan narkotika pada remajastudi deskriptif di panti sosial pamardi putra \u201cinsyaf\u201d medan", "type" : "article-journal", "volume" : "3" }, "uris" : [ "http://www.mendeley.com/documents/?uuid=0c8e34e2-10fb-48dc-93d2-ca1cc50ae9a8" ] } ], "mendeley" : { "formattedCitation" : "(Siregar, 2004)", "plainTextFormattedCitation" : "(Siregar, 2004)", "previouslyFormattedCitation" : "(Siregar, 2004)" }, "properties" : { "noteIndex" : 0 }, "schema" : "https://github.com/citation-style-language/schema/raw/master/csl-citation.json" }</w:instrText>
      </w:r>
      <w:r>
        <w:rPr>
          <w:rFonts w:ascii="Palatino Linotype" w:hAnsi="Palatino Linotype" w:cs="Times New Roman"/>
          <w:szCs w:val="20"/>
        </w:rPr>
        <w:fldChar w:fldCharType="separate"/>
      </w:r>
      <w:r w:rsidRPr="00446601">
        <w:rPr>
          <w:rFonts w:ascii="Palatino Linotype" w:hAnsi="Palatino Linotype" w:cs="Times New Roman"/>
          <w:noProof/>
          <w:szCs w:val="20"/>
        </w:rPr>
        <w:t>(Siregar, 2004)</w:t>
      </w:r>
      <w:r>
        <w:rPr>
          <w:rFonts w:ascii="Palatino Linotype" w:hAnsi="Palatino Linotype" w:cs="Times New Roman"/>
          <w:szCs w:val="20"/>
        </w:rPr>
        <w:fldChar w:fldCharType="end"/>
      </w:r>
      <w:r w:rsidRPr="00446601">
        <w:rPr>
          <w:rFonts w:ascii="Palatino Linotype" w:hAnsi="Palatino Linotype" w:cs="Times New Roman"/>
          <w:szCs w:val="20"/>
        </w:rPr>
        <w:t>.</w:t>
      </w:r>
    </w:p>
    <w:p w:rsidR="00446601" w:rsidRDefault="00446601" w:rsidP="00446601">
      <w:pPr>
        <w:spacing w:after="120" w:line="240" w:lineRule="auto"/>
        <w:ind w:firstLine="284"/>
        <w:jc w:val="both"/>
        <w:rPr>
          <w:rFonts w:ascii="Palatino Linotype" w:hAnsi="Palatino Linotype" w:cs="Times New Roman"/>
          <w:szCs w:val="20"/>
        </w:rPr>
      </w:pPr>
      <w:r w:rsidRPr="00446601">
        <w:rPr>
          <w:rFonts w:ascii="Palatino Linotype" w:hAnsi="Palatino Linotype" w:cs="Times New Roman"/>
          <w:szCs w:val="20"/>
        </w:rPr>
        <w:t>Adolescence always want to know and want to try, especially to things that contain danger or risk. Adolescents are the main target of drug spread due to their lability and easily influenced</w:t>
      </w:r>
      <w:r>
        <w:rPr>
          <w:rFonts w:ascii="Palatino Linotype" w:hAnsi="Palatino Linotype" w:cs="Times New Roman"/>
          <w:szCs w:val="20"/>
        </w:rPr>
        <w:t xml:space="preserve"> adolescents ' characteristics </w:t>
      </w:r>
      <w:r>
        <w:rPr>
          <w:rFonts w:ascii="Palatino Linotype" w:hAnsi="Palatino Linotype" w:cs="Times New Roman"/>
          <w:szCs w:val="20"/>
        </w:rPr>
        <w:fldChar w:fldCharType="begin" w:fldLock="1"/>
      </w:r>
      <w:r>
        <w:rPr>
          <w:rFonts w:ascii="Palatino Linotype" w:hAnsi="Palatino Linotype" w:cs="Times New Roman"/>
          <w:szCs w:val="20"/>
        </w:rPr>
        <w:instrText>ADDIN CSL_CITATION { "citationItems" : [ { "id" : "ITEM-1", "itemData" : { "author" : [ { "dropping-particle" : "", "family" : "BNN", "given" : "", "non-dropping-particle" : "", "parse-names" : false, "suffix" : "" } ], "id" : "ITEM-1", "issued" : { "date-parts" : [ [ "2017" ] ] }, "publisher" : "BNNRI", "publisher-place" : "Jakarta", "title" : "Pedoman pencegahan penyalahgunaan narkoba bagi remaja", "type" : "book" }, "uris" : [ "http://www.mendeley.com/documents/?uuid=d673d523-19dd-48f7-993c-2b9b0191f2a0" ] } ], "mendeley" : { "formattedCitation" : "(BNN, 2017)", "plainTextFormattedCitation" : "(BNN, 2017)", "previouslyFormattedCitation" : "(BNN, 2017)" }, "properties" : { "noteIndex" : 0 }, "schema" : "https://github.com/citation-style-language/schema/raw/master/csl-citation.json" }</w:instrText>
      </w:r>
      <w:r>
        <w:rPr>
          <w:rFonts w:ascii="Palatino Linotype" w:hAnsi="Palatino Linotype" w:cs="Times New Roman"/>
          <w:szCs w:val="20"/>
        </w:rPr>
        <w:fldChar w:fldCharType="separate"/>
      </w:r>
      <w:r w:rsidRPr="00446601">
        <w:rPr>
          <w:rFonts w:ascii="Palatino Linotype" w:hAnsi="Palatino Linotype" w:cs="Times New Roman"/>
          <w:noProof/>
          <w:szCs w:val="20"/>
        </w:rPr>
        <w:t>(BNN, 2017)</w:t>
      </w:r>
      <w:r>
        <w:rPr>
          <w:rFonts w:ascii="Palatino Linotype" w:hAnsi="Palatino Linotype" w:cs="Times New Roman"/>
          <w:szCs w:val="20"/>
        </w:rPr>
        <w:fldChar w:fldCharType="end"/>
      </w:r>
      <w:r w:rsidRPr="00446601">
        <w:rPr>
          <w:rFonts w:ascii="Palatino Linotype" w:hAnsi="Palatino Linotype" w:cs="Times New Roman"/>
          <w:szCs w:val="20"/>
        </w:rPr>
        <w:t>. Based on the data from Kemenkes RI most drug users set in the background of high school 19,730 people, followed by junior high school of 9,768 people. The most background of victims of drug abuse is hig</w:t>
      </w:r>
      <w:r>
        <w:rPr>
          <w:rFonts w:ascii="Palatino Linotype" w:hAnsi="Palatino Linotype" w:cs="Times New Roman"/>
          <w:szCs w:val="20"/>
        </w:rPr>
        <w:t xml:space="preserve">h school and adolescent levels </w:t>
      </w:r>
      <w:r>
        <w:rPr>
          <w:rFonts w:ascii="Palatino Linotype" w:hAnsi="Palatino Linotype" w:cs="Times New Roman"/>
          <w:szCs w:val="20"/>
        </w:rPr>
        <w:fldChar w:fldCharType="begin" w:fldLock="1"/>
      </w:r>
      <w:r>
        <w:rPr>
          <w:rFonts w:ascii="Palatino Linotype" w:hAnsi="Palatino Linotype" w:cs="Times New Roman"/>
          <w:szCs w:val="20"/>
        </w:rPr>
        <w:instrText>ADDIN CSL_CITATION { "citationItems" : [ { "id" : "ITEM-1", "itemData" : { "author" : [ { "dropping-particle" : "", "family" : "Kemenkes", "given" : "", "non-dropping-particle" : "", "parse-names" : false, "suffix" : "" } ], "id" : "ITEM-1", "issued" : { "date-parts" : [ [ "2014" ] ] }, "publisher-place" : "Jakarta", "title" : "Dampak penyalahgunaan narkoba", "type" : "report" }, "uris" : [ "http://www.mendeley.com/documents/?uuid=9f5dfc82-45ba-4030-9875-1defe431c4e4" ] } ], "mendeley" : { "formattedCitation" : "(Kemenkes, 2014)", "plainTextFormattedCitation" : "(Kemenkes, 2014)", "previouslyFormattedCitation" : "(Kemenkes, 2014)" }, "properties" : { "noteIndex" : 0 }, "schema" : "https://github.com/citation-style-language/schema/raw/master/csl-citation.json" }</w:instrText>
      </w:r>
      <w:r>
        <w:rPr>
          <w:rFonts w:ascii="Palatino Linotype" w:hAnsi="Palatino Linotype" w:cs="Times New Roman"/>
          <w:szCs w:val="20"/>
        </w:rPr>
        <w:fldChar w:fldCharType="separate"/>
      </w:r>
      <w:r w:rsidRPr="00446601">
        <w:rPr>
          <w:rFonts w:ascii="Palatino Linotype" w:hAnsi="Palatino Linotype" w:cs="Times New Roman"/>
          <w:noProof/>
          <w:szCs w:val="20"/>
        </w:rPr>
        <w:t>(Kemenkes, 2014)</w:t>
      </w:r>
      <w:r>
        <w:rPr>
          <w:rFonts w:ascii="Palatino Linotype" w:hAnsi="Palatino Linotype" w:cs="Times New Roman"/>
          <w:szCs w:val="20"/>
        </w:rPr>
        <w:fldChar w:fldCharType="end"/>
      </w:r>
      <w:r w:rsidRPr="00446601">
        <w:rPr>
          <w:rFonts w:ascii="Palatino Linotype" w:hAnsi="Palatino Linotype" w:cs="Times New Roman"/>
          <w:szCs w:val="20"/>
        </w:rPr>
        <w:t xml:space="preserve">.   </w:t>
      </w:r>
    </w:p>
    <w:p w:rsidR="004D6490" w:rsidRPr="004D6490" w:rsidRDefault="004D6490" w:rsidP="004D6490">
      <w:pPr>
        <w:spacing w:after="120" w:line="240" w:lineRule="auto"/>
        <w:ind w:firstLine="284"/>
        <w:jc w:val="both"/>
        <w:rPr>
          <w:rFonts w:ascii="Palatino Linotype" w:hAnsi="Palatino Linotype" w:cs="Times New Roman"/>
          <w:szCs w:val="20"/>
        </w:rPr>
      </w:pPr>
      <w:r w:rsidRPr="004D6490">
        <w:rPr>
          <w:rFonts w:ascii="Palatino Linotype" w:hAnsi="Palatino Linotype" w:cs="Times New Roman"/>
          <w:szCs w:val="20"/>
        </w:rPr>
        <w:t>Komisi Perlindungan Anak Indonesia (KPAI) noted that of the  87 million children's population in Indonesia, 5.9 million of them became drug addicts. They become addicted to narcotics because they are influenced by those closest to them. This is in accordance with the findings in the field, which is based on the results of an interview with one of the convicts in the Lapas kelas II B Anak Air on 26 January 2019, obtained the information that the thing behind him wearing drugs is the influence of peers and try it out. So, the high environmental friendship and curiosity in adolescents is a major cause of drug abuse.</w:t>
      </w:r>
    </w:p>
    <w:p w:rsidR="004D6490" w:rsidRPr="004D6490" w:rsidRDefault="004D6490" w:rsidP="004D6490">
      <w:pPr>
        <w:spacing w:after="120" w:line="240" w:lineRule="auto"/>
        <w:ind w:firstLine="284"/>
        <w:jc w:val="both"/>
        <w:rPr>
          <w:rFonts w:ascii="Palatino Linotype" w:hAnsi="Palatino Linotype" w:cs="Times New Roman"/>
          <w:szCs w:val="20"/>
        </w:rPr>
      </w:pPr>
      <w:r w:rsidRPr="004D6490">
        <w:rPr>
          <w:rFonts w:ascii="Palatino Linotype" w:hAnsi="Palatino Linotype" w:cs="Times New Roman"/>
          <w:szCs w:val="20"/>
        </w:rPr>
        <w:t>Drug abuse in adolescents poses a lot of negative effects. These drug abuse will undermine adolescent development and also cause problems. There were 183,000 deaths associated with drug abuse in the year 2012 with a death rate of 40 per</w:t>
      </w:r>
      <w:r>
        <w:rPr>
          <w:rFonts w:ascii="Palatino Linotype" w:hAnsi="Palatino Linotype" w:cs="Times New Roman"/>
          <w:szCs w:val="20"/>
        </w:rPr>
        <w:t xml:space="preserve"> one million people aged 15-64 </w:t>
      </w:r>
      <w:r>
        <w:rPr>
          <w:rFonts w:ascii="Palatino Linotype" w:hAnsi="Palatino Linotype" w:cs="Times New Roman"/>
          <w:szCs w:val="20"/>
        </w:rPr>
        <w:fldChar w:fldCharType="begin" w:fldLock="1"/>
      </w:r>
      <w:r>
        <w:rPr>
          <w:rFonts w:ascii="Palatino Linotype" w:hAnsi="Palatino Linotype" w:cs="Times New Roman"/>
          <w:szCs w:val="20"/>
        </w:rPr>
        <w:instrText>ADDIN CSL_CITATION { "citationItems" : [ { "id" : "ITEM-1", "itemData" : { "author" : [ { "dropping-particle" : "", "family" : "UNODC", "given" : "", "non-dropping-particle" : "", "parse-names" : false, "suffix" : "" } ], "container-title" : "United Nation Office on Drugs and Crime.", "id" : "ITEM-1", "issued" : { "date-parts" : [ [ "2013" ] ] }, "publisher-place" : "Vienna", "title" : "nternational standard on drug use prevention", "type" : "book" }, "uris" : [ "http://www.mendeley.com/documents/?uuid=562677ea-7b60-4f89-9d0d-803e858e4aad" ] } ], "mendeley" : { "formattedCitation" : "(UNODC, 2013)", "plainTextFormattedCitation" : "(UNODC, 2013)", "previouslyFormattedCitation" : "(UNODC, 2013)" }, "properties" : { "noteIndex" : 0 }, "schema" : "https://github.com/citation-style-language/schema/raw/master/csl-citation.json" }</w:instrText>
      </w:r>
      <w:r>
        <w:rPr>
          <w:rFonts w:ascii="Palatino Linotype" w:hAnsi="Palatino Linotype" w:cs="Times New Roman"/>
          <w:szCs w:val="20"/>
        </w:rPr>
        <w:fldChar w:fldCharType="separate"/>
      </w:r>
      <w:r w:rsidRPr="004D6490">
        <w:rPr>
          <w:rFonts w:ascii="Palatino Linotype" w:hAnsi="Palatino Linotype" w:cs="Times New Roman"/>
          <w:noProof/>
          <w:szCs w:val="20"/>
        </w:rPr>
        <w:t>(UNODC, 2013)</w:t>
      </w:r>
      <w:r>
        <w:rPr>
          <w:rFonts w:ascii="Palatino Linotype" w:hAnsi="Palatino Linotype" w:cs="Times New Roman"/>
          <w:szCs w:val="20"/>
        </w:rPr>
        <w:fldChar w:fldCharType="end"/>
      </w:r>
      <w:r w:rsidRPr="004D6490">
        <w:rPr>
          <w:rFonts w:ascii="Palatino Linotype" w:hAnsi="Palatino Linotype" w:cs="Times New Roman"/>
          <w:szCs w:val="20"/>
        </w:rPr>
        <w:t>. Based on the results of a survey of the number of drug abuse in Indonesia, it can be known that the mortality rate among drug abuse was 11,071 per year or 30 peopl</w:t>
      </w:r>
      <w:r>
        <w:rPr>
          <w:rFonts w:ascii="Palatino Linotype" w:hAnsi="Palatino Linotype" w:cs="Times New Roman"/>
          <w:szCs w:val="20"/>
        </w:rPr>
        <w:t xml:space="preserve">e died a day due to drug abuse </w:t>
      </w:r>
      <w:r>
        <w:rPr>
          <w:rFonts w:ascii="Palatino Linotype" w:hAnsi="Palatino Linotype" w:cs="Times New Roman"/>
          <w:szCs w:val="20"/>
        </w:rPr>
        <w:fldChar w:fldCharType="begin" w:fldLock="1"/>
      </w:r>
      <w:r>
        <w:rPr>
          <w:rFonts w:ascii="Palatino Linotype" w:hAnsi="Palatino Linotype" w:cs="Times New Roman"/>
          <w:szCs w:val="20"/>
        </w:rPr>
        <w:instrText>ADDIN CSL_CITATION { "citationItems" : [ { "id" : "ITEM-1", "itemData" : { "author" : [ { "dropping-particle" : "", "family" : "BNN", "given" : "", "non-dropping-particle" : "", "parse-names" : false, "suffix" : "" } ], "id" : "ITEM-1", "issued" : { "date-parts" : [ [ "2017" ] ] }, "publisher" : "BNNRI", "publisher-place" : "Jakarta", "title" : "Pedoman pencegahan penyalahgunaan narkoba bagi remaja", "type" : "book" }, "uris" : [ "http://www.mendeley.com/documents/?uuid=d673d523-19dd-48f7-993c-2b9b0191f2a0" ] } ], "mendeley" : { "formattedCitation" : "(BNN, 2017)", "plainTextFormattedCitation" : "(BNN, 2017)", "previouslyFormattedCitation" : "(BNN, 2017)" }, "properties" : { "noteIndex" : 0 }, "schema" : "https://github.com/citation-style-language/schema/raw/master/csl-citation.json" }</w:instrText>
      </w:r>
      <w:r>
        <w:rPr>
          <w:rFonts w:ascii="Palatino Linotype" w:hAnsi="Palatino Linotype" w:cs="Times New Roman"/>
          <w:szCs w:val="20"/>
        </w:rPr>
        <w:fldChar w:fldCharType="separate"/>
      </w:r>
      <w:r w:rsidRPr="004D6490">
        <w:rPr>
          <w:rFonts w:ascii="Palatino Linotype" w:hAnsi="Palatino Linotype" w:cs="Times New Roman"/>
          <w:noProof/>
          <w:szCs w:val="20"/>
        </w:rPr>
        <w:t>(BNN, 2017)</w:t>
      </w:r>
      <w:r>
        <w:rPr>
          <w:rFonts w:ascii="Palatino Linotype" w:hAnsi="Palatino Linotype" w:cs="Times New Roman"/>
          <w:szCs w:val="20"/>
        </w:rPr>
        <w:fldChar w:fldCharType="end"/>
      </w:r>
      <w:r w:rsidRPr="004D6490">
        <w:rPr>
          <w:rFonts w:ascii="Palatino Linotype" w:hAnsi="Palatino Linotype" w:cs="Times New Roman"/>
          <w:szCs w:val="20"/>
        </w:rPr>
        <w:t>. The World Drug Report (2012) states that 13% of drug users with injections have contracted HIV (Human Immunodeficiency Virus), hepatitis C (46.7%) and hepatitis B (14.6%). This continues to add to the global burden of disease and at least about one of every 100 deaths caused by drug abuse (NAPZA). Some research suggests that the use of NAPZA brought adverse impacts on the behavior and c</w:t>
      </w:r>
      <w:r>
        <w:rPr>
          <w:rFonts w:ascii="Palatino Linotype" w:hAnsi="Palatino Linotype" w:cs="Times New Roman"/>
          <w:szCs w:val="20"/>
        </w:rPr>
        <w:t xml:space="preserve">ognitive function of its users </w:t>
      </w:r>
      <w:r>
        <w:rPr>
          <w:rFonts w:ascii="Palatino Linotype" w:hAnsi="Palatino Linotype" w:cs="Times New Roman"/>
          <w:szCs w:val="20"/>
        </w:rPr>
        <w:fldChar w:fldCharType="begin" w:fldLock="1"/>
      </w:r>
      <w:r w:rsidR="00062CF3">
        <w:rPr>
          <w:rFonts w:ascii="Palatino Linotype" w:hAnsi="Palatino Linotype" w:cs="Times New Roman"/>
          <w:szCs w:val="20"/>
        </w:rPr>
        <w:instrText>ADDIN CSL_CITATION { "citationItems" : [ { "id" : "ITEM-1", "itemData" : { "author" : [ { "dropping-particle" : "", "family" : "Thomas, V.S., &amp; Rockwood", "given" : "K.J", "non-dropping-particle" : "", "parse-names" : false, "suffix" : "" } ], "container-title" : "Journal of the American Geriatrics Society", "id" : "ITEM-1", "issue" : "4", "issued" : { "date-parts" : [ [ "2001" ] ] }, "page" : "415-420", "title" : "Alkohol abuse, cognitive impairment and mortality among older people", "type" : "article-journal", "volume" : "49" }, "uris" : [ "http://www.mendeley.com/documents/?uuid=db231998-84bb-4ce7-a2b7-d0b9574ff4e8" ] }, { "id" : "ITEM-2", "itemData" : { "author" : [ { "dropping-particle" : "", "family" : "Bergen, H. A., Martin, G., Richardson, Allison AS., &amp; Rogers", "given" : "S", "non-dropping-particle" : "", "parse-names" : false, "suffix" : "" } ], "container-title" : "Australian and New Zealand Journal of Psychiatry", "id" : "ITEM-2", "issued" : { "date-parts" : [ [ "2004" ] ] }, "page" : "34-41", "title" : "Sexual abuse, anti sosial behavior and subtance use; gender diffrences in young community adolecents", "type" : "article-journal", "volume" : "38" }, "uris" : [ "http://www.mendeley.com/documents/?uuid=c896c8f7-efd9-4b15-960d-b8da6901c065" ] }, { "id" : "ITEM-3", "itemData" : { "author" : [ { "dropping-particle" : "", "family" : "Dulin, P.L., Hill, R.D., &amp; Ellingson", "given" : "K", "non-dropping-particle" : "", "parse-names" : false, "suffix" : "" } ], "container-title" : "Journal of Alcohol &amp; Drug Education", "id" : "ITEM-3", "issue" : "1", "issued" : { "date-parts" : [ [ "2006" ] ] }, "page" : "5-14", "title" : "Relationship among religious factors, sosial support and alcohol abuse in a western U.S. college student sample", "type" : "article-journal", "volume" : "50" }, "uris" : [ "http://www.mendeley.com/documents/?uuid=1f4acdaf-6d25-4794-936e-8ed1deeba347" ] } ], "mendeley" : { "formattedCitation" : "(Bergen, H. A., Martin, G., Richardson, Allison AS., &amp; Rogers, 2004; Dulin, P.L., Hill, R.D., &amp; Ellingson, 2006; Thomas, V.S., &amp; Rockwood, 2001)", "plainTextFormattedCitation" : "(Bergen, H. A., Martin, G., Richardson, Allison AS., &amp; Rogers, 2004; Dulin, P.L., Hill, R.D., &amp; Ellingson, 2006; Thomas, V.S., &amp; Rockwood, 2001)", "previouslyFormattedCitation" : "(Bergen, H. A., Martin, G., Richardson, Allison AS., &amp; Rogers, 2004; Dulin, P.L., Hill, R.D., &amp; Ellingson, 2006; Thomas, V.S., &amp; Rockwood, 2001)" }, "properties" : { "noteIndex" : 0 }, "schema" : "https://github.com/citation-style-language/schema/raw/master/csl-citation.json" }</w:instrText>
      </w:r>
      <w:r>
        <w:rPr>
          <w:rFonts w:ascii="Palatino Linotype" w:hAnsi="Palatino Linotype" w:cs="Times New Roman"/>
          <w:szCs w:val="20"/>
        </w:rPr>
        <w:fldChar w:fldCharType="separate"/>
      </w:r>
      <w:r w:rsidRPr="004D6490">
        <w:rPr>
          <w:rFonts w:ascii="Palatino Linotype" w:hAnsi="Palatino Linotype" w:cs="Times New Roman"/>
          <w:noProof/>
          <w:szCs w:val="20"/>
        </w:rPr>
        <w:t>(Bergen, H. A., Martin, G., Richardson, Allison AS., &amp; Rogers, 2004; Dulin, P.L., Hill, R.D., &amp; Ellingson, 2006; Thomas, V.S., &amp; Rockwood, 2001)</w:t>
      </w:r>
      <w:r>
        <w:rPr>
          <w:rFonts w:ascii="Palatino Linotype" w:hAnsi="Palatino Linotype" w:cs="Times New Roman"/>
          <w:szCs w:val="20"/>
        </w:rPr>
        <w:fldChar w:fldCharType="end"/>
      </w:r>
      <w:r w:rsidRPr="004D6490">
        <w:rPr>
          <w:rFonts w:ascii="Palatino Linotype" w:hAnsi="Palatino Linotype" w:cs="Times New Roman"/>
          <w:szCs w:val="20"/>
        </w:rPr>
        <w:t>. Impacts on behavior include the emergence of depressive behavior (isolation of self from the environment, lack of self-care activities), aggressive behaviour and antisocial behavior (disrupting order). The impact on cognitive function especially the emergence of negative thoughts such as feeling itself useless, guilty, helpless and untrustworthy. The abusers of NAPZA generally also have a thought of rejecting him being having problems (denial) or consider the problem that is being faced (minimalize). If these impacts are not handled seriously, there are more complex problems such as suicide, family violence, crime and sexual harassment.</w:t>
      </w:r>
    </w:p>
    <w:p w:rsidR="000B603E" w:rsidRPr="000B603E" w:rsidRDefault="000B603E" w:rsidP="000B603E">
      <w:pPr>
        <w:spacing w:after="120" w:line="240" w:lineRule="auto"/>
        <w:ind w:firstLine="284"/>
        <w:jc w:val="both"/>
        <w:rPr>
          <w:rFonts w:ascii="Palatino Linotype" w:hAnsi="Palatino Linotype" w:cs="Times New Roman"/>
          <w:szCs w:val="20"/>
        </w:rPr>
      </w:pPr>
      <w:r w:rsidRPr="000B603E">
        <w:rPr>
          <w:rFonts w:ascii="Palatino Linotype" w:hAnsi="Palatino Linotype" w:cs="Times New Roman"/>
          <w:szCs w:val="20"/>
        </w:rPr>
        <w:t>The P4GN guidelines explains that drug countermeasures have been taken seriously by BNN and other relevant agencies, such as early detection of children who misuse drugs, individual counseling and user families, Social guidance through home visits, social environment c</w:t>
      </w:r>
      <w:r w:rsidR="00D51AA5">
        <w:rPr>
          <w:rFonts w:ascii="Palatino Linotype" w:hAnsi="Palatino Linotype" w:cs="Times New Roman"/>
          <w:szCs w:val="20"/>
        </w:rPr>
        <w:t xml:space="preserve">reation and social supervision </w:t>
      </w:r>
      <w:r w:rsidR="00D51AA5">
        <w:rPr>
          <w:rFonts w:ascii="Palatino Linotype" w:hAnsi="Palatino Linotype" w:cs="Times New Roman"/>
          <w:szCs w:val="20"/>
        </w:rPr>
        <w:fldChar w:fldCharType="begin" w:fldLock="1"/>
      </w:r>
      <w:r w:rsidR="00D51AA5">
        <w:rPr>
          <w:rFonts w:ascii="Palatino Linotype" w:hAnsi="Palatino Linotype" w:cs="Times New Roman"/>
          <w:szCs w:val="20"/>
        </w:rPr>
        <w:instrText>ADDIN CSL_CITATION { "citationItems" : [ { "id" : "ITEM-1", "itemData" : { "author" : [ { "dropping-particle" : "", "family" : "BNN", "given" : "", "non-dropping-particle" : "", "parse-names" : false, "suffix" : "" } ], "container-title" : "https://puslitdatin.bnn.go.id/portfolio/data-statistik-kasus-narkoba/", "id" : "ITEM-1", "issued" : { "date-parts" : [ [ "2019" ] ] }, "title" : "Data statistik kasus narkoba", "type" : "webpage" }, "uris" : [ "http://www.mendeley.com/documents/?uuid=4528e4a3-3027-4b62-9408-4598012990c3" ] } ], "mendeley" : { "formattedCitation" : "(BNN, 2019)", "plainTextFormattedCitation" : "(BNN, 2019)", "previouslyFormattedCitation" : "(BNN, 2019)" }, "properties" : { "noteIndex" : 0 }, "schema" : "https://github.com/citation-style-language/schema/raw/master/csl-citation.json" }</w:instrText>
      </w:r>
      <w:r w:rsidR="00D51AA5">
        <w:rPr>
          <w:rFonts w:ascii="Palatino Linotype" w:hAnsi="Palatino Linotype" w:cs="Times New Roman"/>
          <w:szCs w:val="20"/>
        </w:rPr>
        <w:fldChar w:fldCharType="separate"/>
      </w:r>
      <w:r w:rsidR="00D51AA5" w:rsidRPr="00D51AA5">
        <w:rPr>
          <w:rFonts w:ascii="Palatino Linotype" w:hAnsi="Palatino Linotype" w:cs="Times New Roman"/>
          <w:noProof/>
          <w:szCs w:val="20"/>
        </w:rPr>
        <w:t>(BNN, 2019)</w:t>
      </w:r>
      <w:r w:rsidR="00D51AA5">
        <w:rPr>
          <w:rFonts w:ascii="Palatino Linotype" w:hAnsi="Palatino Linotype" w:cs="Times New Roman"/>
          <w:szCs w:val="20"/>
        </w:rPr>
        <w:fldChar w:fldCharType="end"/>
      </w:r>
      <w:r w:rsidRPr="000B603E">
        <w:rPr>
          <w:rFonts w:ascii="Palatino Linotype" w:hAnsi="Palatino Linotype" w:cs="Times New Roman"/>
          <w:szCs w:val="20"/>
        </w:rPr>
        <w:t>. However, the number of drug abuse is still marginally, especially among students and students.</w:t>
      </w:r>
    </w:p>
    <w:p w:rsidR="000B603E" w:rsidRPr="000B603E" w:rsidRDefault="000B603E" w:rsidP="000B603E">
      <w:pPr>
        <w:spacing w:after="120" w:line="240" w:lineRule="auto"/>
        <w:ind w:firstLine="284"/>
        <w:jc w:val="both"/>
        <w:rPr>
          <w:rFonts w:ascii="Palatino Linotype" w:hAnsi="Palatino Linotype" w:cs="Times New Roman"/>
          <w:szCs w:val="20"/>
        </w:rPr>
      </w:pPr>
      <w:r w:rsidRPr="000B603E">
        <w:rPr>
          <w:rFonts w:ascii="Palatino Linotype" w:hAnsi="Palatino Linotype" w:cs="Times New Roman"/>
          <w:szCs w:val="20"/>
        </w:rPr>
        <w:lastRenderedPageBreak/>
        <w:t>This research aims to determine the description of adolescent understanding at SMK Negeri 9 Padang on the dangers of drug abuse.</w:t>
      </w:r>
    </w:p>
    <w:p w:rsidR="000B603E" w:rsidRPr="00947365" w:rsidRDefault="000B603E" w:rsidP="000B603E">
      <w:pPr>
        <w:spacing w:after="120" w:line="240" w:lineRule="auto"/>
        <w:jc w:val="both"/>
        <w:rPr>
          <w:rFonts w:ascii="Palatino Linotype" w:eastAsiaTheme="minorEastAsia" w:hAnsi="Palatino Linotype" w:cs="Times New Roman"/>
          <w:b/>
          <w:color w:val="231F20"/>
          <w:szCs w:val="20"/>
          <w:lang w:val="en-US" w:eastAsia="ja-JP"/>
        </w:rPr>
      </w:pPr>
      <w:r w:rsidRPr="00947365">
        <w:rPr>
          <w:rFonts w:ascii="Palatino Linotype" w:eastAsiaTheme="minorEastAsia" w:hAnsi="Palatino Linotype" w:cs="Times New Roman"/>
          <w:b/>
          <w:color w:val="231F20"/>
          <w:szCs w:val="20"/>
          <w:lang w:val="en-US" w:eastAsia="ja-JP"/>
        </w:rPr>
        <w:t>Method</w:t>
      </w:r>
    </w:p>
    <w:p w:rsidR="00F45BF6" w:rsidRPr="000B603E" w:rsidRDefault="000B603E" w:rsidP="000B603E">
      <w:pPr>
        <w:ind w:firstLine="567"/>
        <w:jc w:val="both"/>
        <w:rPr>
          <w:rFonts w:ascii="Palatino Linotype" w:hAnsi="Palatino Linotype"/>
        </w:rPr>
      </w:pPr>
      <w:r w:rsidRPr="000B603E">
        <w:rPr>
          <w:rFonts w:ascii="Palatino Linotype" w:hAnsi="Palatino Linotype"/>
        </w:rPr>
        <w:t>This research uses quantitative descriptive methods with a variable of adolescent understanding of the dangers of drug abuse. The population of this research is was 435 students of class X of SMK Negeri 9 Padang. The research samples obtained as many as 204 students. The instruments used in this research are the results of the development of their own researchers. The location of this research was conducted at SMK Negeri 9 Padang in August to September 2019.</w:t>
      </w:r>
    </w:p>
    <w:p w:rsidR="00CB5618" w:rsidRPr="00947365" w:rsidRDefault="0088703B" w:rsidP="002A2DF0">
      <w:pPr>
        <w:spacing w:after="120" w:line="240" w:lineRule="auto"/>
        <w:jc w:val="both"/>
        <w:rPr>
          <w:rFonts w:ascii="Palatino Linotype" w:hAnsi="Palatino Linotype" w:cs="Times New Roman"/>
          <w:b/>
          <w:sz w:val="26"/>
          <w:szCs w:val="24"/>
          <w:lang w:val="en-US"/>
        </w:rPr>
      </w:pPr>
      <w:r w:rsidRPr="00947365">
        <w:rPr>
          <w:rFonts w:ascii="Palatino Linotype" w:hAnsi="Palatino Linotype" w:cs="Times New Roman"/>
          <w:b/>
          <w:sz w:val="26"/>
          <w:szCs w:val="24"/>
          <w:lang w:val="en-US"/>
        </w:rPr>
        <w:t>Results and Discussion</w:t>
      </w:r>
    </w:p>
    <w:p w:rsidR="00495E5D" w:rsidRPr="00495E5D" w:rsidRDefault="00495E5D" w:rsidP="00495E5D">
      <w:pPr>
        <w:spacing w:line="240" w:lineRule="auto"/>
        <w:ind w:firstLine="567"/>
        <w:jc w:val="both"/>
        <w:rPr>
          <w:rFonts w:ascii="Palatino Linotype" w:hAnsi="Palatino Linotype" w:cs="Times New Roman"/>
          <w:szCs w:val="20"/>
        </w:rPr>
      </w:pPr>
      <w:r w:rsidRPr="00495E5D">
        <w:rPr>
          <w:rFonts w:ascii="Palatino Linotype" w:hAnsi="Palatino Linotype" w:cs="Times New Roman"/>
          <w:szCs w:val="20"/>
        </w:rPr>
        <w:t>Based on the research that has been done, the research data are presented and analyzed in accordance with the purpose of the research submitted previously to describe the understanding of adolescents in SMK Negeri 9 Padang on the dangers of drug abuse.</w:t>
      </w:r>
    </w:p>
    <w:p w:rsidR="00495E5D" w:rsidRPr="00495E5D" w:rsidRDefault="00495E5D" w:rsidP="00495E5D">
      <w:pPr>
        <w:spacing w:after="0" w:line="240" w:lineRule="auto"/>
        <w:ind w:firstLine="567"/>
        <w:jc w:val="both"/>
        <w:rPr>
          <w:rFonts w:ascii="Palatino Linotype" w:hAnsi="Palatino Linotype" w:cs="Times New Roman"/>
          <w:szCs w:val="20"/>
        </w:rPr>
      </w:pPr>
      <w:r w:rsidRPr="00495E5D">
        <w:rPr>
          <w:rFonts w:ascii="Palatino Linotype" w:hAnsi="Palatino Linotype" w:cs="Times New Roman"/>
          <w:szCs w:val="20"/>
        </w:rPr>
        <w:t>Table 2 will explain the description of understanding of adolescents at SMK Negeri 9 Padang on the dangers of drug abuse.</w:t>
      </w:r>
    </w:p>
    <w:p w:rsidR="00495E5D" w:rsidRPr="00495E5D" w:rsidRDefault="00495E5D" w:rsidP="00495E5D">
      <w:pPr>
        <w:spacing w:after="0" w:line="240" w:lineRule="auto"/>
        <w:jc w:val="both"/>
        <w:rPr>
          <w:rFonts w:ascii="Palatino Linotype" w:hAnsi="Palatino Linotype" w:cs="Times New Roman"/>
          <w:szCs w:val="20"/>
        </w:rPr>
      </w:pPr>
    </w:p>
    <w:p w:rsidR="00495E5D" w:rsidRPr="00495E5D" w:rsidRDefault="00495E5D" w:rsidP="00495E5D">
      <w:pPr>
        <w:spacing w:after="0" w:line="240" w:lineRule="auto"/>
        <w:jc w:val="center"/>
        <w:rPr>
          <w:rFonts w:ascii="Palatino Linotype" w:hAnsi="Palatino Linotype" w:cs="Times New Roman"/>
          <w:b/>
          <w:szCs w:val="20"/>
        </w:rPr>
      </w:pPr>
      <w:r w:rsidRPr="00495E5D">
        <w:rPr>
          <w:rFonts w:ascii="Palatino Linotype" w:hAnsi="Palatino Linotype" w:cs="Times New Roman"/>
          <w:b/>
          <w:szCs w:val="20"/>
        </w:rPr>
        <w:t>Table 2.</w:t>
      </w:r>
    </w:p>
    <w:p w:rsidR="00495E5D" w:rsidRPr="00495E5D" w:rsidRDefault="00495E5D" w:rsidP="00495E5D">
      <w:pPr>
        <w:spacing w:after="0" w:line="240" w:lineRule="auto"/>
        <w:jc w:val="center"/>
        <w:rPr>
          <w:rFonts w:ascii="Palatino Linotype" w:hAnsi="Palatino Linotype" w:cs="Times New Roman"/>
          <w:b/>
          <w:szCs w:val="20"/>
        </w:rPr>
      </w:pPr>
      <w:r w:rsidRPr="00495E5D">
        <w:rPr>
          <w:rFonts w:ascii="Palatino Linotype" w:hAnsi="Palatino Linotype" w:cs="Times New Roman"/>
          <w:b/>
          <w:szCs w:val="20"/>
        </w:rPr>
        <w:t>Students ' understanding of the dangers of drug abuse at SMK Negeri 9 Padang</w:t>
      </w:r>
    </w:p>
    <w:p w:rsidR="00495E5D" w:rsidRPr="00495E5D" w:rsidRDefault="00495E5D" w:rsidP="00495E5D">
      <w:pPr>
        <w:spacing w:after="0" w:line="240" w:lineRule="auto"/>
        <w:jc w:val="center"/>
        <w:rPr>
          <w:rFonts w:ascii="Palatino Linotype" w:hAnsi="Palatino Linotype" w:cs="Times New Roman"/>
          <w:b/>
          <w:szCs w:val="20"/>
        </w:rPr>
      </w:pPr>
      <w:r w:rsidRPr="00495E5D">
        <w:rPr>
          <w:rFonts w:ascii="Palatino Linotype" w:hAnsi="Palatino Linotype" w:cs="Times New Roman"/>
          <w:b/>
          <w:szCs w:val="20"/>
        </w:rPr>
        <w:t>(n = 204)</w:t>
      </w:r>
    </w:p>
    <w:tbl>
      <w:tblPr>
        <w:tblStyle w:val="TableGrid"/>
        <w:tblW w:w="0" w:type="auto"/>
        <w:tblInd w:w="108" w:type="dxa"/>
        <w:tblLook w:val="04A0"/>
      </w:tblPr>
      <w:tblGrid>
        <w:gridCol w:w="2213"/>
        <w:gridCol w:w="2322"/>
        <w:gridCol w:w="2322"/>
        <w:gridCol w:w="2215"/>
      </w:tblGrid>
      <w:tr w:rsidR="00495E5D" w:rsidRPr="00495E5D" w:rsidTr="00503736">
        <w:tc>
          <w:tcPr>
            <w:tcW w:w="2213" w:type="dxa"/>
            <w:tcBorders>
              <w:left w:val="nil"/>
              <w:bottom w:val="single" w:sz="4" w:space="0" w:color="000000"/>
              <w:right w:val="nil"/>
            </w:tcBorders>
            <w:vAlign w:val="center"/>
          </w:tcPr>
          <w:p w:rsidR="00495E5D" w:rsidRPr="00495E5D" w:rsidRDefault="00495E5D" w:rsidP="00503736">
            <w:pPr>
              <w:spacing w:after="0" w:line="240" w:lineRule="auto"/>
              <w:jc w:val="center"/>
              <w:rPr>
                <w:rFonts w:ascii="Palatino Linotype" w:hAnsi="Palatino Linotype"/>
                <w:b/>
                <w:sz w:val="22"/>
                <w:szCs w:val="22"/>
              </w:rPr>
            </w:pPr>
            <w:r w:rsidRPr="00495E5D">
              <w:rPr>
                <w:rFonts w:ascii="Palatino Linotype" w:hAnsi="Palatino Linotype"/>
                <w:b/>
                <w:sz w:val="22"/>
                <w:szCs w:val="22"/>
              </w:rPr>
              <w:t>Variable</w:t>
            </w:r>
          </w:p>
        </w:tc>
        <w:tc>
          <w:tcPr>
            <w:tcW w:w="2322" w:type="dxa"/>
            <w:tcBorders>
              <w:left w:val="nil"/>
              <w:bottom w:val="single" w:sz="4" w:space="0" w:color="000000"/>
              <w:right w:val="nil"/>
            </w:tcBorders>
            <w:vAlign w:val="center"/>
          </w:tcPr>
          <w:p w:rsidR="00495E5D" w:rsidRPr="00495E5D" w:rsidRDefault="00495E5D" w:rsidP="00503736">
            <w:pPr>
              <w:spacing w:after="0" w:line="240" w:lineRule="auto"/>
              <w:jc w:val="center"/>
              <w:rPr>
                <w:rFonts w:ascii="Palatino Linotype" w:hAnsi="Palatino Linotype"/>
                <w:b/>
                <w:sz w:val="22"/>
                <w:szCs w:val="22"/>
              </w:rPr>
            </w:pPr>
            <w:r w:rsidRPr="00495E5D">
              <w:rPr>
                <w:rFonts w:ascii="Palatino Linotype" w:hAnsi="Palatino Linotype"/>
                <w:b/>
                <w:sz w:val="22"/>
                <w:szCs w:val="22"/>
              </w:rPr>
              <w:t>Category</w:t>
            </w:r>
          </w:p>
        </w:tc>
        <w:tc>
          <w:tcPr>
            <w:tcW w:w="2322" w:type="dxa"/>
            <w:tcBorders>
              <w:left w:val="nil"/>
              <w:bottom w:val="single" w:sz="4" w:space="0" w:color="000000"/>
              <w:right w:val="nil"/>
            </w:tcBorders>
            <w:vAlign w:val="center"/>
          </w:tcPr>
          <w:p w:rsidR="00495E5D" w:rsidRPr="00495E5D" w:rsidRDefault="00495E5D" w:rsidP="00495E5D">
            <w:pPr>
              <w:spacing w:after="0" w:line="240" w:lineRule="auto"/>
              <w:rPr>
                <w:rFonts w:ascii="Palatino Linotype" w:hAnsi="Palatino Linotype"/>
                <w:b/>
                <w:sz w:val="22"/>
                <w:szCs w:val="22"/>
              </w:rPr>
            </w:pPr>
            <w:r w:rsidRPr="00495E5D">
              <w:rPr>
                <w:rFonts w:ascii="Palatino Linotype" w:hAnsi="Palatino Linotype"/>
                <w:b/>
                <w:sz w:val="22"/>
                <w:szCs w:val="22"/>
              </w:rPr>
              <w:t>Frequency</w:t>
            </w:r>
            <w:r w:rsidRPr="00495E5D">
              <w:rPr>
                <w:rFonts w:ascii="Palatino Linotype" w:hAnsi="Palatino Linotype"/>
                <w:b/>
                <w:sz w:val="22"/>
                <w:szCs w:val="22"/>
              </w:rPr>
              <w:tab/>
            </w:r>
          </w:p>
        </w:tc>
        <w:tc>
          <w:tcPr>
            <w:tcW w:w="2215" w:type="dxa"/>
            <w:tcBorders>
              <w:left w:val="nil"/>
              <w:bottom w:val="single" w:sz="4" w:space="0" w:color="000000"/>
              <w:right w:val="nil"/>
            </w:tcBorders>
            <w:vAlign w:val="center"/>
          </w:tcPr>
          <w:p w:rsidR="00495E5D" w:rsidRPr="00495E5D" w:rsidRDefault="00495E5D" w:rsidP="00495E5D">
            <w:pPr>
              <w:spacing w:after="0" w:line="240" w:lineRule="auto"/>
              <w:rPr>
                <w:rFonts w:ascii="Palatino Linotype" w:hAnsi="Palatino Linotype"/>
                <w:b/>
                <w:sz w:val="22"/>
                <w:szCs w:val="22"/>
              </w:rPr>
            </w:pPr>
            <w:r w:rsidRPr="00495E5D">
              <w:rPr>
                <w:rFonts w:ascii="Palatino Linotype" w:hAnsi="Palatino Linotype"/>
                <w:b/>
                <w:sz w:val="22"/>
                <w:szCs w:val="22"/>
              </w:rPr>
              <w:t>Percentage (%)</w:t>
            </w:r>
          </w:p>
        </w:tc>
      </w:tr>
      <w:tr w:rsidR="00495E5D" w:rsidRPr="00994073" w:rsidTr="00503736">
        <w:tc>
          <w:tcPr>
            <w:tcW w:w="2213" w:type="dxa"/>
            <w:vMerge w:val="restart"/>
            <w:tcBorders>
              <w:left w:val="nil"/>
              <w:right w:val="nil"/>
            </w:tcBorders>
            <w:vAlign w:val="center"/>
          </w:tcPr>
          <w:p w:rsidR="00495E5D" w:rsidRPr="00495E5D" w:rsidRDefault="00495E5D" w:rsidP="00503736">
            <w:pPr>
              <w:spacing w:after="0" w:line="240" w:lineRule="auto"/>
              <w:rPr>
                <w:rFonts w:ascii="Palatino Linotype" w:hAnsi="Palatino Linotype"/>
                <w:sz w:val="22"/>
                <w:szCs w:val="22"/>
              </w:rPr>
            </w:pPr>
            <w:r w:rsidRPr="00495E5D">
              <w:rPr>
                <w:rFonts w:ascii="Palatino Linotype" w:hAnsi="Palatino Linotype"/>
                <w:sz w:val="22"/>
                <w:szCs w:val="22"/>
              </w:rPr>
              <w:t>Understanding</w:t>
            </w:r>
          </w:p>
        </w:tc>
        <w:tc>
          <w:tcPr>
            <w:tcW w:w="2322" w:type="dxa"/>
            <w:tcBorders>
              <w:left w:val="nil"/>
              <w:bottom w:val="nil"/>
              <w:right w:val="nil"/>
            </w:tcBorders>
          </w:tcPr>
          <w:p w:rsidR="00495E5D" w:rsidRPr="00495E5D" w:rsidRDefault="00495E5D" w:rsidP="00503736">
            <w:pPr>
              <w:spacing w:after="0" w:line="240" w:lineRule="auto"/>
              <w:rPr>
                <w:rFonts w:ascii="Palatino Linotype" w:hAnsi="Palatino Linotype"/>
                <w:sz w:val="22"/>
                <w:szCs w:val="22"/>
              </w:rPr>
            </w:pPr>
            <w:r w:rsidRPr="00495E5D">
              <w:rPr>
                <w:rFonts w:ascii="Palatino Linotype" w:hAnsi="Palatino Linotype"/>
                <w:sz w:val="22"/>
                <w:szCs w:val="22"/>
              </w:rPr>
              <w:t>Good</w:t>
            </w:r>
          </w:p>
        </w:tc>
        <w:tc>
          <w:tcPr>
            <w:tcW w:w="2322" w:type="dxa"/>
            <w:tcBorders>
              <w:left w:val="nil"/>
              <w:bottom w:val="nil"/>
              <w:right w:val="nil"/>
            </w:tcBorders>
            <w:vAlign w:val="center"/>
          </w:tcPr>
          <w:p w:rsidR="00495E5D" w:rsidRPr="00495E5D" w:rsidRDefault="00495E5D" w:rsidP="00503736">
            <w:pPr>
              <w:spacing w:after="0" w:line="240" w:lineRule="auto"/>
              <w:jc w:val="center"/>
              <w:rPr>
                <w:rFonts w:ascii="Palatino Linotype" w:hAnsi="Palatino Linotype"/>
                <w:sz w:val="22"/>
                <w:szCs w:val="22"/>
              </w:rPr>
            </w:pPr>
            <w:r w:rsidRPr="00495E5D">
              <w:rPr>
                <w:rFonts w:ascii="Palatino Linotype" w:hAnsi="Palatino Linotype"/>
                <w:sz w:val="22"/>
                <w:szCs w:val="22"/>
              </w:rPr>
              <w:t>55</w:t>
            </w:r>
          </w:p>
        </w:tc>
        <w:tc>
          <w:tcPr>
            <w:tcW w:w="2215" w:type="dxa"/>
            <w:tcBorders>
              <w:left w:val="nil"/>
              <w:bottom w:val="nil"/>
              <w:right w:val="nil"/>
            </w:tcBorders>
            <w:vAlign w:val="center"/>
          </w:tcPr>
          <w:p w:rsidR="00495E5D" w:rsidRPr="00495E5D" w:rsidRDefault="00495E5D" w:rsidP="00503736">
            <w:pPr>
              <w:spacing w:after="0" w:line="240" w:lineRule="auto"/>
              <w:jc w:val="center"/>
              <w:rPr>
                <w:rFonts w:ascii="Palatino Linotype" w:hAnsi="Palatino Linotype"/>
                <w:sz w:val="22"/>
                <w:szCs w:val="22"/>
              </w:rPr>
            </w:pPr>
            <w:r w:rsidRPr="00495E5D">
              <w:rPr>
                <w:rFonts w:ascii="Palatino Linotype" w:hAnsi="Palatino Linotype"/>
                <w:sz w:val="22"/>
                <w:szCs w:val="22"/>
              </w:rPr>
              <w:t>27</w:t>
            </w:r>
          </w:p>
        </w:tc>
      </w:tr>
      <w:tr w:rsidR="00495E5D" w:rsidRPr="00994073" w:rsidTr="00503736">
        <w:tc>
          <w:tcPr>
            <w:tcW w:w="2213" w:type="dxa"/>
            <w:vMerge/>
            <w:tcBorders>
              <w:left w:val="nil"/>
              <w:right w:val="nil"/>
            </w:tcBorders>
          </w:tcPr>
          <w:p w:rsidR="00495E5D" w:rsidRPr="00495E5D" w:rsidRDefault="00495E5D" w:rsidP="00503736">
            <w:pPr>
              <w:spacing w:after="0" w:line="240" w:lineRule="auto"/>
              <w:rPr>
                <w:rFonts w:ascii="Palatino Linotype" w:hAnsi="Palatino Linotype"/>
                <w:sz w:val="22"/>
                <w:szCs w:val="22"/>
              </w:rPr>
            </w:pPr>
          </w:p>
        </w:tc>
        <w:tc>
          <w:tcPr>
            <w:tcW w:w="2322" w:type="dxa"/>
            <w:tcBorders>
              <w:top w:val="nil"/>
              <w:left w:val="nil"/>
              <w:bottom w:val="nil"/>
              <w:right w:val="nil"/>
            </w:tcBorders>
          </w:tcPr>
          <w:p w:rsidR="00495E5D" w:rsidRPr="00495E5D" w:rsidRDefault="00495E5D" w:rsidP="00503736">
            <w:pPr>
              <w:spacing w:after="0" w:line="240" w:lineRule="auto"/>
              <w:rPr>
                <w:rFonts w:ascii="Palatino Linotype" w:hAnsi="Palatino Linotype"/>
                <w:sz w:val="22"/>
                <w:szCs w:val="22"/>
              </w:rPr>
            </w:pPr>
            <w:r w:rsidRPr="00495E5D">
              <w:rPr>
                <w:rFonts w:ascii="Palatino Linotype" w:hAnsi="Palatino Linotype"/>
                <w:sz w:val="22"/>
                <w:szCs w:val="22"/>
              </w:rPr>
              <w:t>Enough</w:t>
            </w:r>
          </w:p>
        </w:tc>
        <w:tc>
          <w:tcPr>
            <w:tcW w:w="2322" w:type="dxa"/>
            <w:tcBorders>
              <w:top w:val="nil"/>
              <w:left w:val="nil"/>
              <w:bottom w:val="nil"/>
              <w:right w:val="nil"/>
            </w:tcBorders>
            <w:vAlign w:val="center"/>
          </w:tcPr>
          <w:p w:rsidR="00495E5D" w:rsidRPr="00495E5D" w:rsidRDefault="00495E5D" w:rsidP="00503736">
            <w:pPr>
              <w:spacing w:after="0" w:line="240" w:lineRule="auto"/>
              <w:jc w:val="center"/>
              <w:rPr>
                <w:rFonts w:ascii="Palatino Linotype" w:hAnsi="Palatino Linotype"/>
                <w:sz w:val="22"/>
                <w:szCs w:val="22"/>
              </w:rPr>
            </w:pPr>
            <w:r w:rsidRPr="00495E5D">
              <w:rPr>
                <w:rFonts w:ascii="Palatino Linotype" w:hAnsi="Palatino Linotype"/>
                <w:sz w:val="22"/>
                <w:szCs w:val="22"/>
              </w:rPr>
              <w:t>145</w:t>
            </w:r>
          </w:p>
        </w:tc>
        <w:tc>
          <w:tcPr>
            <w:tcW w:w="2215" w:type="dxa"/>
            <w:tcBorders>
              <w:top w:val="nil"/>
              <w:left w:val="nil"/>
              <w:bottom w:val="nil"/>
              <w:right w:val="nil"/>
            </w:tcBorders>
            <w:vAlign w:val="center"/>
          </w:tcPr>
          <w:p w:rsidR="00495E5D" w:rsidRPr="00495E5D" w:rsidRDefault="00495E5D" w:rsidP="00503736">
            <w:pPr>
              <w:spacing w:after="0" w:line="240" w:lineRule="auto"/>
              <w:jc w:val="center"/>
              <w:rPr>
                <w:rFonts w:ascii="Palatino Linotype" w:hAnsi="Palatino Linotype"/>
                <w:sz w:val="22"/>
                <w:szCs w:val="22"/>
              </w:rPr>
            </w:pPr>
            <w:r w:rsidRPr="00495E5D">
              <w:rPr>
                <w:rFonts w:ascii="Palatino Linotype" w:hAnsi="Palatino Linotype"/>
                <w:sz w:val="22"/>
                <w:szCs w:val="22"/>
              </w:rPr>
              <w:t>71</w:t>
            </w:r>
          </w:p>
        </w:tc>
      </w:tr>
      <w:tr w:rsidR="00495E5D" w:rsidRPr="00994073" w:rsidTr="00503736">
        <w:tc>
          <w:tcPr>
            <w:tcW w:w="2213" w:type="dxa"/>
            <w:vMerge/>
            <w:tcBorders>
              <w:left w:val="nil"/>
              <w:bottom w:val="single" w:sz="4" w:space="0" w:color="000000"/>
              <w:right w:val="nil"/>
            </w:tcBorders>
          </w:tcPr>
          <w:p w:rsidR="00495E5D" w:rsidRPr="00495E5D" w:rsidRDefault="00495E5D" w:rsidP="00503736">
            <w:pPr>
              <w:spacing w:after="0" w:line="240" w:lineRule="auto"/>
              <w:rPr>
                <w:rFonts w:ascii="Palatino Linotype" w:hAnsi="Palatino Linotype"/>
                <w:sz w:val="22"/>
                <w:szCs w:val="22"/>
              </w:rPr>
            </w:pPr>
          </w:p>
        </w:tc>
        <w:tc>
          <w:tcPr>
            <w:tcW w:w="2322" w:type="dxa"/>
            <w:tcBorders>
              <w:top w:val="nil"/>
              <w:left w:val="nil"/>
              <w:bottom w:val="single" w:sz="4" w:space="0" w:color="000000"/>
              <w:right w:val="nil"/>
            </w:tcBorders>
          </w:tcPr>
          <w:p w:rsidR="00495E5D" w:rsidRPr="00495E5D" w:rsidRDefault="00495E5D" w:rsidP="00503736">
            <w:pPr>
              <w:spacing w:after="0" w:line="240" w:lineRule="auto"/>
              <w:rPr>
                <w:rFonts w:ascii="Palatino Linotype" w:hAnsi="Palatino Linotype"/>
                <w:sz w:val="22"/>
                <w:szCs w:val="22"/>
              </w:rPr>
            </w:pPr>
            <w:r w:rsidRPr="00495E5D">
              <w:rPr>
                <w:rFonts w:ascii="Palatino Linotype" w:hAnsi="Palatino Linotype"/>
                <w:sz w:val="22"/>
                <w:szCs w:val="22"/>
              </w:rPr>
              <w:t>Less</w:t>
            </w:r>
          </w:p>
        </w:tc>
        <w:tc>
          <w:tcPr>
            <w:tcW w:w="2322" w:type="dxa"/>
            <w:tcBorders>
              <w:top w:val="nil"/>
              <w:left w:val="nil"/>
              <w:bottom w:val="single" w:sz="4" w:space="0" w:color="000000"/>
              <w:right w:val="nil"/>
            </w:tcBorders>
            <w:vAlign w:val="center"/>
          </w:tcPr>
          <w:p w:rsidR="00495E5D" w:rsidRPr="00495E5D" w:rsidRDefault="00495E5D" w:rsidP="00503736">
            <w:pPr>
              <w:spacing w:after="0" w:line="240" w:lineRule="auto"/>
              <w:jc w:val="center"/>
              <w:rPr>
                <w:rFonts w:ascii="Palatino Linotype" w:hAnsi="Palatino Linotype"/>
                <w:sz w:val="22"/>
                <w:szCs w:val="22"/>
              </w:rPr>
            </w:pPr>
            <w:r w:rsidRPr="00495E5D">
              <w:rPr>
                <w:rFonts w:ascii="Palatino Linotype" w:hAnsi="Palatino Linotype"/>
                <w:sz w:val="22"/>
                <w:szCs w:val="22"/>
              </w:rPr>
              <w:t>4</w:t>
            </w:r>
          </w:p>
        </w:tc>
        <w:tc>
          <w:tcPr>
            <w:tcW w:w="2215" w:type="dxa"/>
            <w:tcBorders>
              <w:top w:val="nil"/>
              <w:left w:val="nil"/>
              <w:bottom w:val="single" w:sz="4" w:space="0" w:color="000000"/>
            </w:tcBorders>
            <w:vAlign w:val="center"/>
          </w:tcPr>
          <w:p w:rsidR="00495E5D" w:rsidRPr="00495E5D" w:rsidRDefault="00495E5D" w:rsidP="00503736">
            <w:pPr>
              <w:spacing w:after="0" w:line="240" w:lineRule="auto"/>
              <w:jc w:val="center"/>
              <w:rPr>
                <w:rFonts w:ascii="Palatino Linotype" w:hAnsi="Palatino Linotype"/>
                <w:sz w:val="22"/>
                <w:szCs w:val="22"/>
              </w:rPr>
            </w:pPr>
            <w:r w:rsidRPr="00495E5D">
              <w:rPr>
                <w:rFonts w:ascii="Palatino Linotype" w:hAnsi="Palatino Linotype"/>
                <w:sz w:val="22"/>
                <w:szCs w:val="22"/>
              </w:rPr>
              <w:t>2</w:t>
            </w:r>
          </w:p>
        </w:tc>
      </w:tr>
      <w:tr w:rsidR="00495E5D" w:rsidRPr="00994073" w:rsidTr="00503736">
        <w:tc>
          <w:tcPr>
            <w:tcW w:w="2213" w:type="dxa"/>
            <w:tcBorders>
              <w:left w:val="nil"/>
              <w:right w:val="nil"/>
            </w:tcBorders>
          </w:tcPr>
          <w:p w:rsidR="00495E5D" w:rsidRPr="00495E5D" w:rsidRDefault="00495E5D" w:rsidP="00503736">
            <w:pPr>
              <w:spacing w:after="0" w:line="240" w:lineRule="auto"/>
              <w:rPr>
                <w:rFonts w:ascii="Palatino Linotype" w:hAnsi="Palatino Linotype"/>
                <w:sz w:val="22"/>
                <w:szCs w:val="22"/>
              </w:rPr>
            </w:pPr>
            <w:r w:rsidRPr="00495E5D">
              <w:rPr>
                <w:rFonts w:ascii="Palatino Linotype" w:hAnsi="Palatino Linotype"/>
                <w:sz w:val="22"/>
                <w:szCs w:val="22"/>
              </w:rPr>
              <w:t>Total</w:t>
            </w:r>
          </w:p>
        </w:tc>
        <w:tc>
          <w:tcPr>
            <w:tcW w:w="2322" w:type="dxa"/>
            <w:tcBorders>
              <w:left w:val="nil"/>
              <w:right w:val="nil"/>
            </w:tcBorders>
          </w:tcPr>
          <w:p w:rsidR="00495E5D" w:rsidRPr="00495E5D" w:rsidRDefault="00495E5D" w:rsidP="00503736">
            <w:pPr>
              <w:spacing w:after="0" w:line="240" w:lineRule="auto"/>
              <w:rPr>
                <w:rFonts w:ascii="Palatino Linotype" w:hAnsi="Palatino Linotype"/>
                <w:sz w:val="22"/>
                <w:szCs w:val="22"/>
              </w:rPr>
            </w:pPr>
          </w:p>
        </w:tc>
        <w:tc>
          <w:tcPr>
            <w:tcW w:w="2322" w:type="dxa"/>
            <w:tcBorders>
              <w:left w:val="nil"/>
              <w:right w:val="nil"/>
            </w:tcBorders>
          </w:tcPr>
          <w:p w:rsidR="00495E5D" w:rsidRPr="00495E5D" w:rsidRDefault="00495E5D" w:rsidP="00503736">
            <w:pPr>
              <w:spacing w:after="0" w:line="240" w:lineRule="auto"/>
              <w:rPr>
                <w:rFonts w:ascii="Palatino Linotype" w:hAnsi="Palatino Linotype"/>
                <w:sz w:val="22"/>
                <w:szCs w:val="22"/>
              </w:rPr>
            </w:pPr>
          </w:p>
        </w:tc>
        <w:tc>
          <w:tcPr>
            <w:tcW w:w="2215" w:type="dxa"/>
            <w:tcBorders>
              <w:left w:val="nil"/>
              <w:right w:val="nil"/>
            </w:tcBorders>
            <w:vAlign w:val="center"/>
          </w:tcPr>
          <w:p w:rsidR="00495E5D" w:rsidRPr="00495E5D" w:rsidRDefault="00495E5D" w:rsidP="00503736">
            <w:pPr>
              <w:spacing w:after="0" w:line="240" w:lineRule="auto"/>
              <w:jc w:val="center"/>
              <w:rPr>
                <w:rFonts w:ascii="Palatino Linotype" w:hAnsi="Palatino Linotype"/>
                <w:sz w:val="22"/>
                <w:szCs w:val="22"/>
              </w:rPr>
            </w:pPr>
            <w:r w:rsidRPr="00495E5D">
              <w:rPr>
                <w:rFonts w:ascii="Palatino Linotype" w:hAnsi="Palatino Linotype"/>
                <w:sz w:val="22"/>
                <w:szCs w:val="22"/>
              </w:rPr>
              <w:t>100</w:t>
            </w:r>
          </w:p>
        </w:tc>
      </w:tr>
    </w:tbl>
    <w:p w:rsidR="00495E5D" w:rsidRDefault="00495E5D" w:rsidP="00495E5D">
      <w:pPr>
        <w:spacing w:line="240" w:lineRule="auto"/>
        <w:jc w:val="both"/>
        <w:rPr>
          <w:rFonts w:ascii="Palatino Linotype" w:hAnsi="Palatino Linotype" w:cs="Times New Roman"/>
          <w:szCs w:val="20"/>
        </w:rPr>
      </w:pPr>
      <w:r w:rsidRPr="00495E5D">
        <w:rPr>
          <w:rFonts w:ascii="Palatino Linotype" w:hAnsi="Palatino Linotype" w:cs="Times New Roman"/>
          <w:szCs w:val="20"/>
        </w:rPr>
        <w:t xml:space="preserve">Source: </w:t>
      </w:r>
      <w:r>
        <w:rPr>
          <w:rFonts w:ascii="Palatino Linotype" w:hAnsi="Palatino Linotype" w:cs="Times New Roman"/>
          <w:szCs w:val="20"/>
        </w:rPr>
        <w:t>Data penelitian 2019</w:t>
      </w:r>
    </w:p>
    <w:p w:rsidR="00062CF3" w:rsidRPr="00062CF3" w:rsidRDefault="00062CF3" w:rsidP="00062CF3">
      <w:pPr>
        <w:spacing w:line="240" w:lineRule="auto"/>
        <w:ind w:firstLine="567"/>
        <w:jc w:val="both"/>
        <w:rPr>
          <w:rFonts w:ascii="Palatino Linotype" w:hAnsi="Palatino Linotype" w:cs="Times New Roman"/>
          <w:szCs w:val="20"/>
        </w:rPr>
      </w:pPr>
      <w:r w:rsidRPr="00062CF3">
        <w:rPr>
          <w:rFonts w:ascii="Palatino Linotype" w:hAnsi="Palatino Linotype" w:cs="Times New Roman"/>
          <w:szCs w:val="20"/>
        </w:rPr>
        <w:t xml:space="preserve">Based on table 2, the result is that more than half of respondents have sufficient understanding (71%) about the dangers of drug abuse. </w:t>
      </w:r>
    </w:p>
    <w:p w:rsidR="00062CF3" w:rsidRPr="00062CF3" w:rsidRDefault="00062CF3" w:rsidP="00062CF3">
      <w:pPr>
        <w:spacing w:after="0" w:line="240" w:lineRule="auto"/>
        <w:ind w:firstLine="567"/>
        <w:jc w:val="both"/>
        <w:rPr>
          <w:rFonts w:ascii="Palatino Linotype" w:hAnsi="Palatino Linotype" w:cs="Times New Roman"/>
          <w:szCs w:val="20"/>
        </w:rPr>
      </w:pPr>
      <w:r w:rsidRPr="00062CF3">
        <w:rPr>
          <w:rFonts w:ascii="Palatino Linotype" w:hAnsi="Palatino Linotype" w:cs="Times New Roman"/>
          <w:szCs w:val="20"/>
        </w:rPr>
        <w:t>More details about the understanding of adolescents in SMK Negeri 9 Padang against the dangers of drug abuse in table 2 above can be poured graphically on the following bar chart:</w:t>
      </w:r>
    </w:p>
    <w:p w:rsidR="00495E5D" w:rsidRPr="00495E5D" w:rsidRDefault="00062CF3" w:rsidP="00495E5D">
      <w:pPr>
        <w:spacing w:after="0" w:line="240" w:lineRule="auto"/>
        <w:jc w:val="both"/>
        <w:rPr>
          <w:rFonts w:ascii="Palatino Linotype" w:hAnsi="Palatino Linotype" w:cs="Times New Roman"/>
          <w:szCs w:val="20"/>
        </w:rPr>
      </w:pPr>
      <w:r w:rsidRPr="00062CF3">
        <w:rPr>
          <w:rFonts w:ascii="Palatino Linotype" w:hAnsi="Palatino Linotype" w:cs="Times New Roman"/>
          <w:szCs w:val="20"/>
        </w:rPr>
        <w:lastRenderedPageBreak/>
        <w:drawing>
          <wp:inline distT="0" distB="0" distL="0" distR="0">
            <wp:extent cx="5690870" cy="2371725"/>
            <wp:effectExtent l="57150" t="0" r="43180" b="28575"/>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45BF6" w:rsidRDefault="00062CF3" w:rsidP="00F45BF6">
      <w:pPr>
        <w:spacing w:after="0" w:line="240" w:lineRule="auto"/>
        <w:jc w:val="both"/>
        <w:rPr>
          <w:rFonts w:ascii="Palatino Linotype" w:hAnsi="Palatino Linotype" w:cs="Times New Roman"/>
          <w:szCs w:val="20"/>
        </w:rPr>
      </w:pPr>
      <w:r w:rsidRPr="00062CF3">
        <w:rPr>
          <w:rFonts w:ascii="Palatino Linotype" w:hAnsi="Palatino Linotype" w:cs="Times New Roman"/>
          <w:szCs w:val="20"/>
          <w:lang w:val="en-US"/>
        </w:rPr>
        <w:t>Pict</w:t>
      </w:r>
      <w:r>
        <w:rPr>
          <w:rFonts w:ascii="Palatino Linotype" w:hAnsi="Palatino Linotype" w:cs="Times New Roman"/>
          <w:szCs w:val="20"/>
          <w:lang w:val="en-US"/>
        </w:rPr>
        <w:t>ure 2. Distribution of students</w:t>
      </w:r>
      <w:r w:rsidRPr="00062CF3">
        <w:rPr>
          <w:rFonts w:ascii="Palatino Linotype" w:hAnsi="Palatino Linotype" w:cs="Times New Roman"/>
          <w:szCs w:val="20"/>
          <w:lang w:val="en-US"/>
        </w:rPr>
        <w:t>' understanding of the dangers of drug abuse at SMK Negeri 9 Padang.</w:t>
      </w:r>
    </w:p>
    <w:p w:rsidR="00062CF3" w:rsidRPr="00062CF3" w:rsidRDefault="00062CF3" w:rsidP="00062CF3">
      <w:pPr>
        <w:spacing w:line="240" w:lineRule="auto"/>
        <w:ind w:firstLine="567"/>
        <w:jc w:val="both"/>
        <w:rPr>
          <w:rFonts w:ascii="Palatino Linotype" w:hAnsi="Palatino Linotype" w:cs="Times New Roman"/>
          <w:szCs w:val="20"/>
        </w:rPr>
      </w:pPr>
      <w:r w:rsidRPr="00062CF3">
        <w:rPr>
          <w:rFonts w:ascii="Palatino Linotype" w:hAnsi="Palatino Linotype" w:cs="Times New Roman"/>
          <w:szCs w:val="20"/>
        </w:rPr>
        <w:t>Based on the picture above, most students are 145 students (71%) have an understanding of drug hazards in sufficient categories, 55 students (27%) in good category, and 4 students (2%) in the category less. Thus shows that in general students' understanding of the dangers of drug abuse in SMK Negeri 9 Padang is currently still in the medium category. Understanding students in SMK Negeri 9 Padang, the majority of which are in sufficient category and some students are in the category of less must be sought to be more improved.</w:t>
      </w:r>
    </w:p>
    <w:p w:rsidR="00062CF3" w:rsidRDefault="00062CF3" w:rsidP="00062CF3">
      <w:pPr>
        <w:spacing w:line="240" w:lineRule="auto"/>
        <w:ind w:firstLine="567"/>
        <w:jc w:val="both"/>
        <w:rPr>
          <w:rFonts w:ascii="Palatino Linotype" w:hAnsi="Palatino Linotype" w:cs="Times New Roman"/>
          <w:szCs w:val="20"/>
        </w:rPr>
      </w:pPr>
      <w:r w:rsidRPr="00062CF3">
        <w:rPr>
          <w:rFonts w:ascii="Palatino Linotype" w:hAnsi="Palatino Linotype" w:cs="Times New Roman"/>
          <w:szCs w:val="20"/>
        </w:rPr>
        <w:t xml:space="preserve">The results of this research correspond to the research results of Pingpong Rohmad Istiadi which shows that most students are 40 students (48.78%) have an understanding of drug hazards in medium category, 8 students (9.76%) in a very high category, 26 students (31.71%) in the high category and 8 students (9.769%) in </w:t>
      </w:r>
      <w:r>
        <w:rPr>
          <w:rFonts w:ascii="Palatino Linotype" w:hAnsi="Palatino Linotype" w:cs="Times New Roman"/>
          <w:szCs w:val="20"/>
        </w:rPr>
        <w:t xml:space="preserve">the low category </w:t>
      </w:r>
      <w:r>
        <w:rPr>
          <w:rFonts w:ascii="Palatino Linotype" w:hAnsi="Palatino Linotype" w:cs="Times New Roman"/>
          <w:szCs w:val="20"/>
        </w:rPr>
        <w:fldChar w:fldCharType="begin" w:fldLock="1"/>
      </w:r>
      <w:r>
        <w:rPr>
          <w:rFonts w:ascii="Palatino Linotype" w:hAnsi="Palatino Linotype" w:cs="Times New Roman"/>
          <w:szCs w:val="20"/>
        </w:rPr>
        <w:instrText>ADDIN CSL_CITATION { "citationItems" : [ { "id" : "ITEM-1", "itemData" : { "author" : [ { "dropping-particle" : "", "family" : "Istiadi", "given" : "P. R", "non-dropping-particle" : "", "parse-names" : false, "suffix" : "" } ], "id" : "ITEM-1", "issued" : { "date-parts" : [ [ "2012" ] ] }, "publisher" : "Universitas Negeri Semarang", "title" : "Pemahaman Tentang Bahaya Narkoba Dan Rokok Pada Siswa Sma N 1 Kayen Kabupaten Pati", "type" : "thesis" }, "uris" : [ "http://www.mendeley.com/documents/?uuid=329b606e-3728-493f-b2f1-5a32e328aefe" ] } ], "mendeley" : { "formattedCitation" : "(Istiadi, 2012)", "plainTextFormattedCitation" : "(Istiadi, 2012)", "previouslyFormattedCitation" : "(Istiadi, 2012)" }, "properties" : { "noteIndex" : 0 }, "schema" : "https://github.com/citation-style-language/schema/raw/master/csl-citation.json" }</w:instrText>
      </w:r>
      <w:r>
        <w:rPr>
          <w:rFonts w:ascii="Palatino Linotype" w:hAnsi="Palatino Linotype" w:cs="Times New Roman"/>
          <w:szCs w:val="20"/>
        </w:rPr>
        <w:fldChar w:fldCharType="separate"/>
      </w:r>
      <w:r w:rsidRPr="00062CF3">
        <w:rPr>
          <w:rFonts w:ascii="Palatino Linotype" w:hAnsi="Palatino Linotype" w:cs="Times New Roman"/>
          <w:noProof/>
          <w:szCs w:val="20"/>
        </w:rPr>
        <w:t>(Istiadi, 2012)</w:t>
      </w:r>
      <w:r>
        <w:rPr>
          <w:rFonts w:ascii="Palatino Linotype" w:hAnsi="Palatino Linotype" w:cs="Times New Roman"/>
          <w:szCs w:val="20"/>
        </w:rPr>
        <w:fldChar w:fldCharType="end"/>
      </w:r>
      <w:r w:rsidRPr="00062CF3">
        <w:rPr>
          <w:rFonts w:ascii="Palatino Linotype" w:hAnsi="Palatino Linotype" w:cs="Times New Roman"/>
          <w:szCs w:val="20"/>
        </w:rPr>
        <w:t>. Thus shows that in general an understanding of the dangers of drugs from grade XI students SMA N 1 Kayen District of Pati District is currently still in the medium category. Furthermore, the research of Rahayu (2014) shows that 70% of junior high School 2 Ngoro students lack understanding about the dangers of drugs. Understanding is one of the most important aspects in the prevention of drug abuse. A lack of understanding of drug hazards makes students not to know the worst impact of drug harm and makes it easy for stude</w:t>
      </w:r>
      <w:r>
        <w:rPr>
          <w:rFonts w:ascii="Palatino Linotype" w:hAnsi="Palatino Linotype" w:cs="Times New Roman"/>
          <w:szCs w:val="20"/>
        </w:rPr>
        <w:t xml:space="preserve">nts to get stuck in drug abuse </w:t>
      </w:r>
      <w:r>
        <w:rPr>
          <w:rFonts w:ascii="Palatino Linotype" w:hAnsi="Palatino Linotype" w:cs="Times New Roman"/>
          <w:szCs w:val="20"/>
        </w:rPr>
        <w:fldChar w:fldCharType="begin" w:fldLock="1"/>
      </w:r>
      <w:r>
        <w:rPr>
          <w:rFonts w:ascii="Palatino Linotype" w:hAnsi="Palatino Linotype" w:cs="Times New Roman"/>
          <w:szCs w:val="20"/>
        </w:rPr>
        <w:instrText>ADDIN CSL_CITATION { "citationItems" : [ { "id" : "ITEM-1", "itemData" : { "author" : [ { "dropping-particle" : "", "family" : "Rahayu", "given" : "Prasetyo", "non-dropping-particle" : "", "parse-names" : false, "suffix" : "" } ], "container-title" : "Jurnal BK UNESA", "id" : "ITEM-1", "issue" : "1", "issued" : { "date-parts" : [ [ "2014" ] ] }, "title" : "Penerapan bimbingan kelompok dengan media video untuk meningkatkan pemahaman siswa tentang bahaya narkoba pada siswa kelas VIII-D SMP Negeri 2Ngoro", "type" : "article-journal", "volume" : "4" }, "uris" : [ "http://www.mendeley.com/documents/?uuid=1cd7904e-421c-4ec3-a08f-d20af27be439" ] } ], "mendeley" : { "formattedCitation" : "(Rahayu, 2014)", "plainTextFormattedCitation" : "(Rahayu, 2014)", "previouslyFormattedCitation" : "(Rahayu, 2014)" }, "properties" : { "noteIndex" : 0 }, "schema" : "https://github.com/citation-style-language/schema/raw/master/csl-citation.json" }</w:instrText>
      </w:r>
      <w:r>
        <w:rPr>
          <w:rFonts w:ascii="Palatino Linotype" w:hAnsi="Palatino Linotype" w:cs="Times New Roman"/>
          <w:szCs w:val="20"/>
        </w:rPr>
        <w:fldChar w:fldCharType="separate"/>
      </w:r>
      <w:r w:rsidRPr="00062CF3">
        <w:rPr>
          <w:rFonts w:ascii="Palatino Linotype" w:hAnsi="Palatino Linotype" w:cs="Times New Roman"/>
          <w:noProof/>
          <w:szCs w:val="20"/>
        </w:rPr>
        <w:t>(Rahayu, 2014)</w:t>
      </w:r>
      <w:r>
        <w:rPr>
          <w:rFonts w:ascii="Palatino Linotype" w:hAnsi="Palatino Linotype" w:cs="Times New Roman"/>
          <w:szCs w:val="20"/>
        </w:rPr>
        <w:fldChar w:fldCharType="end"/>
      </w:r>
      <w:r w:rsidRPr="00062CF3">
        <w:rPr>
          <w:rFonts w:ascii="Palatino Linotype" w:hAnsi="Palatino Linotype" w:cs="Times New Roman"/>
          <w:szCs w:val="20"/>
        </w:rPr>
        <w:t>.</w:t>
      </w:r>
    </w:p>
    <w:p w:rsidR="008908BB" w:rsidRPr="008908BB" w:rsidRDefault="008908BB" w:rsidP="008908BB">
      <w:pPr>
        <w:spacing w:line="240" w:lineRule="auto"/>
        <w:ind w:firstLine="567"/>
        <w:jc w:val="both"/>
        <w:rPr>
          <w:rFonts w:ascii="Palatino Linotype" w:hAnsi="Palatino Linotype" w:cs="Times New Roman"/>
          <w:szCs w:val="20"/>
        </w:rPr>
      </w:pPr>
      <w:r w:rsidRPr="008908BB">
        <w:rPr>
          <w:rFonts w:ascii="Palatino Linotype" w:hAnsi="Palatino Linotype" w:cs="Times New Roman"/>
          <w:szCs w:val="20"/>
        </w:rPr>
        <w:t xml:space="preserve">At this time adolescents have not considered foreign smoking behavior and drinking alcoholic beverages, but as it is known that smoking and drinking alcoholic beverages is a person's initial door to fall into abuse Drug. This is evidenced by the findings of the researchers, where 31.9% of the respondents claimed to have smoked and known as 28.6% of the respondents admitted to never drinking alcoholic beverages. Some of the respondents even started at a very young age of 10 years for smoking and 11 year old on the behavior of drinking </w:t>
      </w:r>
      <w:r>
        <w:rPr>
          <w:rFonts w:ascii="Palatino Linotype" w:hAnsi="Palatino Linotype" w:cs="Times New Roman"/>
          <w:szCs w:val="20"/>
        </w:rPr>
        <w:t xml:space="preserve">alcoholic beverages </w:t>
      </w:r>
      <w:r>
        <w:rPr>
          <w:rFonts w:ascii="Palatino Linotype" w:hAnsi="Palatino Linotype" w:cs="Times New Roman"/>
          <w:szCs w:val="20"/>
        </w:rPr>
        <w:fldChar w:fldCharType="begin" w:fldLock="1"/>
      </w:r>
      <w:r>
        <w:rPr>
          <w:rFonts w:ascii="Palatino Linotype" w:hAnsi="Palatino Linotype" w:cs="Times New Roman"/>
          <w:szCs w:val="20"/>
        </w:rPr>
        <w:instrText>ADDIN CSL_CITATION { "citationItems" : [ { "id" : "ITEM-1", "itemData" : { "author" : [ { "dropping-particle" : "", "family" : "Fitriani, O., Handayani, S., &amp; Asiah", "given" : "N .", "non-dropping-particle" : "", "parse-names" : false, "suffix" : "" } ], "container-title" : "ARKESMAS", "id" : "ITEM-1", "issue" : "1", "issued" : { "date-parts" : [ [ "2017" ] ] }, "page" : "135-143", "title" : "Determinan penyalahgunaan narkoba pada remaja di SMAN 24 Jakarta", "type" : "article-journal", "volume" : "2" }, "uris" : [ "http://www.mendeley.com/documents/?uuid=718e5831-65ee-45eb-ae2b-84e39bfcb6a3" ] } ], "mendeley" : { "formattedCitation" : "(Fitriani, O., Handayani, S., &amp; Asiah, 2017)", "plainTextFormattedCitation" : "(Fitriani, O., Handayani, S., &amp; Asiah, 2017)", "previouslyFormattedCitation" : "(Fitriani, O., Handayani, S., &amp; Asiah, 2017)" }, "properties" : { "noteIndex" : 0 }, "schema" : "https://github.com/citation-style-language/schema/raw/master/csl-citation.json" }</w:instrText>
      </w:r>
      <w:r>
        <w:rPr>
          <w:rFonts w:ascii="Palatino Linotype" w:hAnsi="Palatino Linotype" w:cs="Times New Roman"/>
          <w:szCs w:val="20"/>
        </w:rPr>
        <w:fldChar w:fldCharType="separate"/>
      </w:r>
      <w:r w:rsidRPr="008908BB">
        <w:rPr>
          <w:rFonts w:ascii="Palatino Linotype" w:hAnsi="Palatino Linotype" w:cs="Times New Roman"/>
          <w:noProof/>
          <w:szCs w:val="20"/>
        </w:rPr>
        <w:t>(Fitriani, O., Handayani, S., &amp; Asiah, 2017)</w:t>
      </w:r>
      <w:r>
        <w:rPr>
          <w:rFonts w:ascii="Palatino Linotype" w:hAnsi="Palatino Linotype" w:cs="Times New Roman"/>
          <w:szCs w:val="20"/>
        </w:rPr>
        <w:fldChar w:fldCharType="end"/>
      </w:r>
      <w:r w:rsidRPr="008908BB">
        <w:rPr>
          <w:rFonts w:ascii="Palatino Linotype" w:hAnsi="Palatino Linotype" w:cs="Times New Roman"/>
          <w:szCs w:val="20"/>
        </w:rPr>
        <w:t>. Taken together, adolescence is a highly critical phase for the development of healthy or unhealthy substance use patterns</w:t>
      </w:r>
      <w:r>
        <w:rPr>
          <w:rFonts w:ascii="Palatino Linotype" w:hAnsi="Palatino Linotype" w:cs="Times New Roman"/>
          <w:szCs w:val="20"/>
        </w:rPr>
        <w:t xml:space="preserve"> </w:t>
      </w:r>
      <w:r>
        <w:rPr>
          <w:rFonts w:ascii="Palatino Linotype" w:hAnsi="Palatino Linotype" w:cs="Times New Roman"/>
          <w:szCs w:val="20"/>
        </w:rPr>
        <w:fldChar w:fldCharType="begin" w:fldLock="1"/>
      </w:r>
      <w:r>
        <w:rPr>
          <w:rFonts w:ascii="Palatino Linotype" w:hAnsi="Palatino Linotype" w:cs="Times New Roman"/>
          <w:szCs w:val="20"/>
        </w:rPr>
        <w:instrText>ADDIN CSL_CITATION { "citationItems" : [ { "id" : "ITEM-1", "itemData" : { "author" : [ { "dropping-particle" : "", "family" : "Young, S. E., Corley, R. P., Stallings, M. C., Rhee, S. H.", "given" : "Crowley", "non-dropping-particle" : "", "parse-names" : false, "suffix" : "" }, { "dropping-particle" : "", "family" : "T. J., &amp; Hewitt", "given" : "J. K.", "non-dropping-particle" : "", "parse-names" : false, "suffix" : "" } ], "container-title" : "Drug and Alcohol Dependence", "id" : "ITEM-1", "issued" : { "date-parts" : [ [ "2002" ] ] }, "page" : "309\u2013322", "title" : "Substance use, abuse and dependence in adolescence: Prevalence, symptom profiles and correlates", "type" : "article-journal", "volume" : "62" }, "uris" : [ "http://www.mendeley.com/documents/?uuid=21c54af2-4e07-4cd5-87f3-714b6e94484e" ] } ], "mendeley" : { "formattedCitation" : "(Young, S. E., Corley, R. P., Stallings, M. C., Rhee, S. H. &amp; T. J., &amp; Hewitt, 2002)", "plainTextFormattedCitation" : "(Young, S. E., Corley, R. P., Stallings, M. C., Rhee, S. H. &amp; T. J., &amp; Hewitt, 2002)", "previouslyFormattedCitation" : "(Young, S. E., Corley, R. P., Stallings, M. C., Rhee, S. H. &amp; T. J., &amp; Hewitt, 2002)" }, "properties" : { "noteIndex" : 0 }, "schema" : "https://github.com/citation-style-language/schema/raw/master/csl-citation.json" }</w:instrText>
      </w:r>
      <w:r>
        <w:rPr>
          <w:rFonts w:ascii="Palatino Linotype" w:hAnsi="Palatino Linotype" w:cs="Times New Roman"/>
          <w:szCs w:val="20"/>
        </w:rPr>
        <w:fldChar w:fldCharType="separate"/>
      </w:r>
      <w:r w:rsidRPr="008908BB">
        <w:rPr>
          <w:rFonts w:ascii="Palatino Linotype" w:hAnsi="Palatino Linotype" w:cs="Times New Roman"/>
          <w:noProof/>
          <w:szCs w:val="20"/>
        </w:rPr>
        <w:t>(Young, S. E., Corley, R. P., Stallings, M. C., Rhee, S. H. &amp; T. J., &amp; Hewitt, 2002)</w:t>
      </w:r>
      <w:r>
        <w:rPr>
          <w:rFonts w:ascii="Palatino Linotype" w:hAnsi="Palatino Linotype" w:cs="Times New Roman"/>
          <w:szCs w:val="20"/>
        </w:rPr>
        <w:fldChar w:fldCharType="end"/>
      </w:r>
      <w:r w:rsidRPr="008908BB">
        <w:rPr>
          <w:rFonts w:ascii="Palatino Linotype" w:hAnsi="Palatino Linotype" w:cs="Times New Roman"/>
          <w:szCs w:val="20"/>
        </w:rPr>
        <w:t>.</w:t>
      </w:r>
    </w:p>
    <w:p w:rsidR="008908BB" w:rsidRPr="008908BB" w:rsidRDefault="008908BB" w:rsidP="008908BB">
      <w:pPr>
        <w:spacing w:after="0" w:line="240" w:lineRule="auto"/>
        <w:ind w:firstLine="567"/>
        <w:jc w:val="both"/>
        <w:rPr>
          <w:rFonts w:ascii="Palatino Linotype" w:hAnsi="Palatino Linotype" w:cs="Times New Roman"/>
          <w:szCs w:val="20"/>
        </w:rPr>
      </w:pPr>
      <w:r w:rsidRPr="008908BB">
        <w:rPr>
          <w:rFonts w:ascii="Palatino Linotype" w:hAnsi="Palatino Linotype" w:cs="Times New Roman"/>
          <w:szCs w:val="20"/>
        </w:rPr>
        <w:t xml:space="preserve">Knowledge is a very important domain in shaping one's actions. The behavior based on knowledge will last longer and likely to be a behavior inherent to a person </w:t>
      </w:r>
      <w:r>
        <w:rPr>
          <w:rFonts w:ascii="Palatino Linotype" w:hAnsi="Palatino Linotype" w:cs="Times New Roman"/>
          <w:szCs w:val="20"/>
        </w:rPr>
        <w:t xml:space="preserve">than if not </w:t>
      </w:r>
      <w:r>
        <w:rPr>
          <w:rFonts w:ascii="Palatino Linotype" w:hAnsi="Palatino Linotype" w:cs="Times New Roman"/>
          <w:szCs w:val="20"/>
        </w:rPr>
        <w:lastRenderedPageBreak/>
        <w:t xml:space="preserve">based on knowledge </w:t>
      </w:r>
      <w:r>
        <w:rPr>
          <w:rFonts w:ascii="Palatino Linotype" w:hAnsi="Palatino Linotype" w:cs="Times New Roman"/>
          <w:szCs w:val="20"/>
        </w:rPr>
        <w:fldChar w:fldCharType="begin" w:fldLock="1"/>
      </w:r>
      <w:r>
        <w:rPr>
          <w:rFonts w:ascii="Palatino Linotype" w:hAnsi="Palatino Linotype" w:cs="Times New Roman"/>
          <w:szCs w:val="20"/>
        </w:rPr>
        <w:instrText>ADDIN CSL_CITATION { "citationItems" : [ { "id" : "ITEM-1", "itemData" : { "author" : [ { "dropping-particle" : "", "family" : "Notoatmodjo", "given" : "Soekidjo", "non-dropping-particle" : "", "parse-names" : false, "suffix" : "" } ], "id" : "ITEM-1", "issued" : { "date-parts" : [ [ "2003" ] ] }, "publisher" : "PT RINEKA CIPTA", "publisher-place" : "Jakarta", "title" : "Ilmu kesehatan mayarakat", "type" : "book" }, "uris" : [ "http://www.mendeley.com/documents/?uuid=02583fad-d22d-4e4b-8ea1-28ab109bf655" ] } ], "mendeley" : { "formattedCitation" : "(Notoatmodjo, 2003)", "plainTextFormattedCitation" : "(Notoatmodjo, 2003)", "previouslyFormattedCitation" : "(Notoatmodjo, 2003)" }, "properties" : { "noteIndex" : 0 }, "schema" : "https://github.com/citation-style-language/schema/raw/master/csl-citation.json" }</w:instrText>
      </w:r>
      <w:r>
        <w:rPr>
          <w:rFonts w:ascii="Palatino Linotype" w:hAnsi="Palatino Linotype" w:cs="Times New Roman"/>
          <w:szCs w:val="20"/>
        </w:rPr>
        <w:fldChar w:fldCharType="separate"/>
      </w:r>
      <w:r w:rsidRPr="008908BB">
        <w:rPr>
          <w:rFonts w:ascii="Palatino Linotype" w:hAnsi="Palatino Linotype" w:cs="Times New Roman"/>
          <w:noProof/>
          <w:szCs w:val="20"/>
        </w:rPr>
        <w:t>(Notoatmodjo, 2003)</w:t>
      </w:r>
      <w:r>
        <w:rPr>
          <w:rFonts w:ascii="Palatino Linotype" w:hAnsi="Palatino Linotype" w:cs="Times New Roman"/>
          <w:szCs w:val="20"/>
        </w:rPr>
        <w:fldChar w:fldCharType="end"/>
      </w:r>
      <w:r w:rsidRPr="008908BB">
        <w:rPr>
          <w:rFonts w:ascii="Palatino Linotype" w:hAnsi="Palatino Linotype" w:cs="Times New Roman"/>
          <w:szCs w:val="20"/>
        </w:rPr>
        <w:t>. This is in accordance with the results of research indicating the relationship between adolescents' knowledge of drugs on the risk of drug abuse in adolescents at SMAN 24 Jakarta (p value 0.048)</w:t>
      </w:r>
      <w:r w:rsidR="00211C73">
        <w:rPr>
          <w:rFonts w:ascii="Palatino Linotype" w:hAnsi="Palatino Linotype" w:cs="Times New Roman"/>
          <w:szCs w:val="20"/>
        </w:rPr>
        <w:t xml:space="preserve"> </w:t>
      </w:r>
      <w:r w:rsidR="00211C73">
        <w:rPr>
          <w:rFonts w:ascii="Palatino Linotype" w:hAnsi="Palatino Linotype" w:cs="Times New Roman"/>
          <w:szCs w:val="20"/>
        </w:rPr>
        <w:fldChar w:fldCharType="begin" w:fldLock="1"/>
      </w:r>
      <w:r w:rsidR="00211C73">
        <w:rPr>
          <w:rFonts w:ascii="Palatino Linotype" w:hAnsi="Palatino Linotype" w:cs="Times New Roman"/>
          <w:szCs w:val="20"/>
        </w:rPr>
        <w:instrText>ADDIN CSL_CITATION { "citationItems" : [ { "id" : "ITEM-1", "itemData" : { "author" : [ { "dropping-particle" : "", "family" : "Fitriani, O., Handayani, S., &amp; Asiah", "given" : "N .", "non-dropping-particle" : "", "parse-names" : false, "suffix" : "" } ], "container-title" : "ARKESMAS", "id" : "ITEM-1", "issue" : "1", "issued" : { "date-parts" : [ [ "2017" ] ] }, "page" : "135-143", "title" : "Determinan penyalahgunaan narkoba pada remaja di SMAN 24 Jakarta", "type" : "article-journal", "volume" : "2" }, "uris" : [ "http://www.mendeley.com/documents/?uuid=718e5831-65ee-45eb-ae2b-84e39bfcb6a3" ] } ], "mendeley" : { "formattedCitation" : "(Fitriani, O., Handayani, S., &amp; Asiah, 2017)", "plainTextFormattedCitation" : "(Fitriani, O., Handayani, S., &amp; Asiah, 2017)", "previouslyFormattedCitation" : "(Fitriani, O., Handayani, S., &amp; Asiah, 2017)" }, "properties" : { "noteIndex" : 0 }, "schema" : "https://github.com/citation-style-language/schema/raw/master/csl-citation.json" }</w:instrText>
      </w:r>
      <w:r w:rsidR="00211C73">
        <w:rPr>
          <w:rFonts w:ascii="Palatino Linotype" w:hAnsi="Palatino Linotype" w:cs="Times New Roman"/>
          <w:szCs w:val="20"/>
        </w:rPr>
        <w:fldChar w:fldCharType="separate"/>
      </w:r>
      <w:r w:rsidR="00211C73" w:rsidRPr="00211C73">
        <w:rPr>
          <w:rFonts w:ascii="Palatino Linotype" w:hAnsi="Palatino Linotype" w:cs="Times New Roman"/>
          <w:noProof/>
          <w:szCs w:val="20"/>
        </w:rPr>
        <w:t>(Fitriani, O., Handayani, S., &amp; Asiah, 2017)</w:t>
      </w:r>
      <w:r w:rsidR="00211C73">
        <w:rPr>
          <w:rFonts w:ascii="Palatino Linotype" w:hAnsi="Palatino Linotype" w:cs="Times New Roman"/>
          <w:szCs w:val="20"/>
        </w:rPr>
        <w:fldChar w:fldCharType="end"/>
      </w:r>
      <w:r w:rsidRPr="008908BB">
        <w:rPr>
          <w:rFonts w:ascii="Palatino Linotype" w:hAnsi="Palatino Linotype" w:cs="Times New Roman"/>
          <w:szCs w:val="20"/>
        </w:rPr>
        <w:t>. The limitations of adolescents' understanding and knowledge of drugs can certainly bring adolescents to risky behaviors including abuse of drugs. Individual competence in dealing with molecule substances is crucial for the development of healthy substance use behavior and prevention of substance misuse or addiction</w:t>
      </w:r>
      <w:r w:rsidR="00211C73">
        <w:rPr>
          <w:rFonts w:ascii="Palatino Linotype" w:hAnsi="Palatino Linotype" w:cs="Times New Roman"/>
          <w:szCs w:val="20"/>
        </w:rPr>
        <w:t xml:space="preserve"> </w:t>
      </w:r>
      <w:r w:rsidR="00211C73">
        <w:rPr>
          <w:rFonts w:ascii="Palatino Linotype" w:hAnsi="Palatino Linotype" w:cs="Times New Roman"/>
          <w:szCs w:val="20"/>
        </w:rPr>
        <w:fldChar w:fldCharType="begin" w:fldLock="1"/>
      </w:r>
      <w:r w:rsidR="00211C73">
        <w:rPr>
          <w:rFonts w:ascii="Palatino Linotype" w:hAnsi="Palatino Linotype" w:cs="Times New Roman"/>
          <w:szCs w:val="20"/>
        </w:rPr>
        <w:instrText>ADDIN CSL_CITATION { "citationItems" : [ { "id" : "ITEM-1", "itemData" : { "author" : [ { "dropping-particle" : "", "family" : "Nagy, E., Verres, R., &amp; Grevenstein", "given" : "D", "non-dropping-particle" : "", "parse-names" : false, "suffix" : "" } ], "container-title" : "Substance use &amp; misuse", "id" : "ITEM-1", "issue" : "14", "issued" : { "date-parts" : [ [ "2017" ] ] }, "page" : "1892-1909", "title" : "Risk competence in dealing with alcohol and other drugs in adolescence", "type" : "article-journal", "volume" : "52" }, "uris" : [ "http://www.mendeley.com/documents/?uuid=62d0f375-de26-4648-a271-e913205553c8" ] } ], "mendeley" : { "formattedCitation" : "(Nagy, E., Verres, R., &amp; Grevenstein, 2017)", "plainTextFormattedCitation" : "(Nagy, E., Verres, R., &amp; Grevenstein, 2017)", "previouslyFormattedCitation" : "(Nagy, E., Verres, R., &amp; Grevenstein, 2017)" }, "properties" : { "noteIndex" : 0 }, "schema" : "https://github.com/citation-style-language/schema/raw/master/csl-citation.json" }</w:instrText>
      </w:r>
      <w:r w:rsidR="00211C73">
        <w:rPr>
          <w:rFonts w:ascii="Palatino Linotype" w:hAnsi="Palatino Linotype" w:cs="Times New Roman"/>
          <w:szCs w:val="20"/>
        </w:rPr>
        <w:fldChar w:fldCharType="separate"/>
      </w:r>
      <w:r w:rsidR="00211C73" w:rsidRPr="00211C73">
        <w:rPr>
          <w:rFonts w:ascii="Palatino Linotype" w:hAnsi="Palatino Linotype" w:cs="Times New Roman"/>
          <w:noProof/>
          <w:szCs w:val="20"/>
        </w:rPr>
        <w:t>(Nagy, E., Verres, R., &amp; Grevenstein, 2017)</w:t>
      </w:r>
      <w:r w:rsidR="00211C73">
        <w:rPr>
          <w:rFonts w:ascii="Palatino Linotype" w:hAnsi="Palatino Linotype" w:cs="Times New Roman"/>
          <w:szCs w:val="20"/>
        </w:rPr>
        <w:fldChar w:fldCharType="end"/>
      </w:r>
      <w:r w:rsidRPr="008908BB">
        <w:rPr>
          <w:rFonts w:ascii="Palatino Linotype" w:hAnsi="Palatino Linotype" w:cs="Times New Roman"/>
          <w:szCs w:val="20"/>
        </w:rPr>
        <w:t>. If adolescents are not equipped with a good understanding, the curiosity will lead to drug abuse. Good understanding is one way to prevent drug abuse in adolescents. With good understanding, the youth can argue and behave to avoid drug abuse.</w:t>
      </w:r>
    </w:p>
    <w:p w:rsidR="008908BB" w:rsidRPr="00062CF3" w:rsidRDefault="008908BB" w:rsidP="00062CF3">
      <w:pPr>
        <w:spacing w:after="0" w:line="240" w:lineRule="auto"/>
        <w:ind w:firstLine="567"/>
        <w:jc w:val="both"/>
        <w:rPr>
          <w:rFonts w:ascii="Palatino Linotype" w:hAnsi="Palatino Linotype" w:cs="Times New Roman"/>
          <w:szCs w:val="20"/>
        </w:rPr>
      </w:pPr>
    </w:p>
    <w:p w:rsidR="00062CF3" w:rsidRDefault="00062CF3" w:rsidP="00F45BF6">
      <w:pPr>
        <w:spacing w:after="0" w:line="240" w:lineRule="auto"/>
        <w:jc w:val="both"/>
        <w:rPr>
          <w:rFonts w:ascii="Palatino Linotype" w:hAnsi="Palatino Linotype" w:cs="Times New Roman"/>
          <w:szCs w:val="20"/>
        </w:rPr>
      </w:pPr>
    </w:p>
    <w:p w:rsidR="00211C73" w:rsidRDefault="00211C73" w:rsidP="00F45BF6">
      <w:pPr>
        <w:spacing w:after="0" w:line="240" w:lineRule="auto"/>
        <w:jc w:val="both"/>
        <w:rPr>
          <w:rFonts w:ascii="Palatino Linotype" w:hAnsi="Palatino Linotype" w:cs="Times New Roman"/>
          <w:szCs w:val="20"/>
        </w:rPr>
      </w:pPr>
    </w:p>
    <w:p w:rsidR="00CB5618" w:rsidRPr="00947365" w:rsidRDefault="0088703B" w:rsidP="002A2DF0">
      <w:pPr>
        <w:spacing w:after="120" w:line="240" w:lineRule="auto"/>
        <w:jc w:val="both"/>
        <w:rPr>
          <w:rFonts w:ascii="Palatino Linotype" w:hAnsi="Palatino Linotype" w:cs="Times New Roman"/>
          <w:b/>
          <w:sz w:val="26"/>
          <w:szCs w:val="24"/>
          <w:lang w:val="en-US"/>
        </w:rPr>
      </w:pPr>
      <w:r w:rsidRPr="00947365">
        <w:rPr>
          <w:rFonts w:ascii="Palatino Linotype" w:hAnsi="Palatino Linotype" w:cs="Times New Roman"/>
          <w:b/>
          <w:sz w:val="26"/>
          <w:szCs w:val="24"/>
          <w:lang w:val="en-US"/>
        </w:rPr>
        <w:t>Conclusion</w:t>
      </w:r>
    </w:p>
    <w:p w:rsidR="00E84C85" w:rsidRPr="00E84C85" w:rsidRDefault="00E84C85" w:rsidP="00E84C85">
      <w:pPr>
        <w:spacing w:after="0" w:line="240" w:lineRule="auto"/>
        <w:ind w:firstLine="567"/>
        <w:jc w:val="both"/>
        <w:rPr>
          <w:rFonts w:ascii="Palatino Linotype" w:hAnsi="Palatino Linotype" w:cs="Times New Roman"/>
          <w:bCs/>
          <w:szCs w:val="20"/>
        </w:rPr>
      </w:pPr>
      <w:r w:rsidRPr="00E84C85">
        <w:rPr>
          <w:rFonts w:ascii="Palatino Linotype" w:hAnsi="Palatino Linotype" w:cs="Times New Roman"/>
          <w:bCs/>
          <w:szCs w:val="20"/>
        </w:rPr>
        <w:t>Based on the results of research and data analysis on the understanding of adolescents at SMK Negeri 9 Padang on the dangers of drug abuse can be concluded that students' understanding is generally in the category of medium with a percentage of 71%, understanding students good category with a percentage of 27% and in the less category with a percentage of 2%. This means that more than half of students have adequate understanding of the dangers of drug abuse. Understanding is one of the most important aspects in the prevention of drug abuse. If adolescents are not equipped with a good understanding, the curiosity will lead to drug abuse. Good understanding is one way to prevent drug abuse in teenagers. With good understanding, the youth can argue and behave to avoid drug abuse.</w:t>
      </w:r>
    </w:p>
    <w:p w:rsidR="00CB5618" w:rsidRPr="00947365" w:rsidRDefault="00CB5618" w:rsidP="00054684">
      <w:pPr>
        <w:spacing w:after="0" w:line="240" w:lineRule="auto"/>
        <w:ind w:firstLine="284"/>
        <w:jc w:val="both"/>
        <w:rPr>
          <w:rFonts w:ascii="Palatino Linotype" w:hAnsi="Palatino Linotype" w:cs="Times New Roman"/>
          <w:bCs/>
          <w:szCs w:val="20"/>
          <w:lang w:val="en-US"/>
        </w:rPr>
      </w:pPr>
      <w:r w:rsidRPr="00947365">
        <w:rPr>
          <w:rFonts w:ascii="Palatino Linotype" w:hAnsi="Palatino Linotype" w:cs="Times New Roman"/>
          <w:bCs/>
          <w:szCs w:val="20"/>
          <w:lang w:val="en-US"/>
        </w:rPr>
        <w:t xml:space="preserve"> </w:t>
      </w:r>
    </w:p>
    <w:p w:rsidR="00CB5618" w:rsidRPr="00947365" w:rsidRDefault="0088703B" w:rsidP="002A2DF0">
      <w:pPr>
        <w:spacing w:after="120" w:line="240" w:lineRule="auto"/>
        <w:jc w:val="both"/>
        <w:rPr>
          <w:rFonts w:ascii="Palatino Linotype" w:hAnsi="Palatino Linotype" w:cs="Times New Roman"/>
          <w:b/>
          <w:sz w:val="26"/>
          <w:szCs w:val="24"/>
          <w:lang w:val="en-US"/>
        </w:rPr>
      </w:pPr>
      <w:r w:rsidRPr="00947365">
        <w:rPr>
          <w:rFonts w:ascii="Palatino Linotype" w:hAnsi="Palatino Linotype" w:cs="Times New Roman"/>
          <w:b/>
          <w:sz w:val="26"/>
          <w:szCs w:val="24"/>
          <w:lang w:val="en-US"/>
        </w:rPr>
        <w:t>References</w:t>
      </w:r>
    </w:p>
    <w:p w:rsidR="00D51AA5" w:rsidRPr="00D51AA5" w:rsidRDefault="00E84C85" w:rsidP="00CF2287">
      <w:pPr>
        <w:widowControl w:val="0"/>
        <w:autoSpaceDE w:val="0"/>
        <w:autoSpaceDN w:val="0"/>
        <w:adjustRightInd w:val="0"/>
        <w:spacing w:after="120" w:line="240" w:lineRule="auto"/>
        <w:ind w:left="480" w:hanging="480"/>
        <w:jc w:val="both"/>
        <w:rPr>
          <w:rFonts w:ascii="Palatino Linotype" w:hAnsi="Palatino Linotype" w:cs="Times New Roman"/>
          <w:noProof/>
          <w:sz w:val="18"/>
          <w:szCs w:val="24"/>
        </w:rPr>
      </w:pPr>
      <w:r>
        <w:rPr>
          <w:rFonts w:ascii="Palatino Linotype" w:hAnsi="Palatino Linotype" w:cs="Times New Roman"/>
          <w:sz w:val="18"/>
          <w:szCs w:val="20"/>
          <w:lang w:val="en-US"/>
        </w:rPr>
        <w:fldChar w:fldCharType="begin" w:fldLock="1"/>
      </w:r>
      <w:r>
        <w:rPr>
          <w:rFonts w:ascii="Palatino Linotype" w:hAnsi="Palatino Linotype" w:cs="Times New Roman"/>
          <w:sz w:val="18"/>
          <w:szCs w:val="20"/>
          <w:lang w:val="en-US"/>
        </w:rPr>
        <w:instrText xml:space="preserve">ADDIN Mendeley Bibliography CSL_BIBLIOGRAPHY </w:instrText>
      </w:r>
      <w:r>
        <w:rPr>
          <w:rFonts w:ascii="Palatino Linotype" w:hAnsi="Palatino Linotype" w:cs="Times New Roman"/>
          <w:sz w:val="18"/>
          <w:szCs w:val="20"/>
          <w:lang w:val="en-US"/>
        </w:rPr>
        <w:fldChar w:fldCharType="separate"/>
      </w:r>
      <w:r w:rsidR="00D51AA5" w:rsidRPr="00D51AA5">
        <w:rPr>
          <w:rFonts w:ascii="Palatino Linotype" w:hAnsi="Palatino Linotype" w:cs="Times New Roman"/>
          <w:noProof/>
          <w:sz w:val="18"/>
          <w:szCs w:val="24"/>
        </w:rPr>
        <w:t xml:space="preserve">Bergen, H. A., Martin, G., Richardson, Allison AS., &amp; Rogers, S. (2004). Sexual abuse, anti sosial behavior and subtance use; gender diffrences in young community adolecents. </w:t>
      </w:r>
      <w:r w:rsidR="00D51AA5" w:rsidRPr="00D51AA5">
        <w:rPr>
          <w:rFonts w:ascii="Palatino Linotype" w:hAnsi="Palatino Linotype" w:cs="Times New Roman"/>
          <w:i/>
          <w:iCs/>
          <w:noProof/>
          <w:sz w:val="18"/>
          <w:szCs w:val="24"/>
        </w:rPr>
        <w:t>Australian and New Zealand Journal of Psychiatry</w:t>
      </w:r>
      <w:r w:rsidR="00D51AA5" w:rsidRPr="00D51AA5">
        <w:rPr>
          <w:rFonts w:ascii="Palatino Linotype" w:hAnsi="Palatino Linotype" w:cs="Times New Roman"/>
          <w:noProof/>
          <w:sz w:val="18"/>
          <w:szCs w:val="24"/>
        </w:rPr>
        <w:t xml:space="preserve">, </w:t>
      </w:r>
      <w:r w:rsidR="00D51AA5" w:rsidRPr="00D51AA5">
        <w:rPr>
          <w:rFonts w:ascii="Palatino Linotype" w:hAnsi="Palatino Linotype" w:cs="Times New Roman"/>
          <w:i/>
          <w:iCs/>
          <w:noProof/>
          <w:sz w:val="18"/>
          <w:szCs w:val="24"/>
        </w:rPr>
        <w:t>38</w:t>
      </w:r>
      <w:r w:rsidR="00D51AA5" w:rsidRPr="00D51AA5">
        <w:rPr>
          <w:rFonts w:ascii="Palatino Linotype" w:hAnsi="Palatino Linotype" w:cs="Times New Roman"/>
          <w:noProof/>
          <w:sz w:val="18"/>
          <w:szCs w:val="24"/>
        </w:rPr>
        <w:t>, 34–41.</w:t>
      </w:r>
    </w:p>
    <w:p w:rsidR="00D51AA5" w:rsidRPr="00D51AA5" w:rsidRDefault="00D51AA5" w:rsidP="00CF2287">
      <w:pPr>
        <w:widowControl w:val="0"/>
        <w:autoSpaceDE w:val="0"/>
        <w:autoSpaceDN w:val="0"/>
        <w:adjustRightInd w:val="0"/>
        <w:spacing w:after="120" w:line="240" w:lineRule="auto"/>
        <w:ind w:left="480" w:hanging="480"/>
        <w:jc w:val="both"/>
        <w:rPr>
          <w:rFonts w:ascii="Palatino Linotype" w:hAnsi="Palatino Linotype" w:cs="Times New Roman"/>
          <w:noProof/>
          <w:sz w:val="18"/>
          <w:szCs w:val="24"/>
        </w:rPr>
      </w:pPr>
      <w:r w:rsidRPr="00D51AA5">
        <w:rPr>
          <w:rFonts w:ascii="Palatino Linotype" w:hAnsi="Palatino Linotype" w:cs="Times New Roman"/>
          <w:noProof/>
          <w:sz w:val="18"/>
          <w:szCs w:val="24"/>
        </w:rPr>
        <w:t xml:space="preserve">BNN. (2017). </w:t>
      </w:r>
      <w:r w:rsidRPr="00D51AA5">
        <w:rPr>
          <w:rFonts w:ascii="Palatino Linotype" w:hAnsi="Palatino Linotype" w:cs="Times New Roman"/>
          <w:i/>
          <w:iCs/>
          <w:noProof/>
          <w:sz w:val="18"/>
          <w:szCs w:val="24"/>
        </w:rPr>
        <w:t>Pedoman pencegahan penyalahgunaan narkoba bagi remaja</w:t>
      </w:r>
      <w:r w:rsidRPr="00D51AA5">
        <w:rPr>
          <w:rFonts w:ascii="Palatino Linotype" w:hAnsi="Palatino Linotype" w:cs="Times New Roman"/>
          <w:noProof/>
          <w:sz w:val="18"/>
          <w:szCs w:val="24"/>
        </w:rPr>
        <w:t>. Jakarta: BNNRI.</w:t>
      </w:r>
    </w:p>
    <w:p w:rsidR="00D51AA5" w:rsidRPr="00D51AA5" w:rsidRDefault="00D51AA5" w:rsidP="00CF2287">
      <w:pPr>
        <w:widowControl w:val="0"/>
        <w:autoSpaceDE w:val="0"/>
        <w:autoSpaceDN w:val="0"/>
        <w:adjustRightInd w:val="0"/>
        <w:spacing w:after="120" w:line="240" w:lineRule="auto"/>
        <w:ind w:left="480" w:hanging="480"/>
        <w:jc w:val="both"/>
        <w:rPr>
          <w:rFonts w:ascii="Palatino Linotype" w:hAnsi="Palatino Linotype" w:cs="Times New Roman"/>
          <w:noProof/>
          <w:sz w:val="18"/>
          <w:szCs w:val="24"/>
        </w:rPr>
      </w:pPr>
      <w:r w:rsidRPr="00D51AA5">
        <w:rPr>
          <w:rFonts w:ascii="Palatino Linotype" w:hAnsi="Palatino Linotype" w:cs="Times New Roman"/>
          <w:noProof/>
          <w:sz w:val="18"/>
          <w:szCs w:val="24"/>
        </w:rPr>
        <w:t>BNN. (2019). Data statistik kasus narkoba.</w:t>
      </w:r>
    </w:p>
    <w:p w:rsidR="00D51AA5" w:rsidRPr="00D51AA5" w:rsidRDefault="00D51AA5" w:rsidP="00CF2287">
      <w:pPr>
        <w:widowControl w:val="0"/>
        <w:autoSpaceDE w:val="0"/>
        <w:autoSpaceDN w:val="0"/>
        <w:adjustRightInd w:val="0"/>
        <w:spacing w:after="120" w:line="240" w:lineRule="auto"/>
        <w:ind w:left="480" w:hanging="480"/>
        <w:jc w:val="both"/>
        <w:rPr>
          <w:rFonts w:ascii="Palatino Linotype" w:hAnsi="Palatino Linotype" w:cs="Times New Roman"/>
          <w:noProof/>
          <w:sz w:val="18"/>
          <w:szCs w:val="24"/>
        </w:rPr>
      </w:pPr>
      <w:r w:rsidRPr="00D51AA5">
        <w:rPr>
          <w:rFonts w:ascii="Palatino Linotype" w:hAnsi="Palatino Linotype" w:cs="Times New Roman"/>
          <w:noProof/>
          <w:sz w:val="18"/>
          <w:szCs w:val="24"/>
        </w:rPr>
        <w:t>BNNP. (2017). Data penyalahgunaan narkoba Provinsi Sumatera Barat.</w:t>
      </w:r>
    </w:p>
    <w:p w:rsidR="00D51AA5" w:rsidRPr="00D51AA5" w:rsidRDefault="00D51AA5" w:rsidP="00CF2287">
      <w:pPr>
        <w:widowControl w:val="0"/>
        <w:autoSpaceDE w:val="0"/>
        <w:autoSpaceDN w:val="0"/>
        <w:adjustRightInd w:val="0"/>
        <w:spacing w:after="120" w:line="240" w:lineRule="auto"/>
        <w:ind w:left="480" w:hanging="480"/>
        <w:jc w:val="both"/>
        <w:rPr>
          <w:rFonts w:ascii="Palatino Linotype" w:hAnsi="Palatino Linotype" w:cs="Times New Roman"/>
          <w:noProof/>
          <w:sz w:val="18"/>
          <w:szCs w:val="24"/>
        </w:rPr>
      </w:pPr>
      <w:r w:rsidRPr="00D51AA5">
        <w:rPr>
          <w:rFonts w:ascii="Palatino Linotype" w:hAnsi="Palatino Linotype" w:cs="Times New Roman"/>
          <w:noProof/>
          <w:sz w:val="18"/>
          <w:szCs w:val="24"/>
        </w:rPr>
        <w:t xml:space="preserve">Dulin, P.L., Hill, R.D., &amp; Ellingson, K. (2006). Relationship among religious factors, sosial support and alcohol abuse in a western U.S. college student sample. </w:t>
      </w:r>
      <w:r w:rsidRPr="00D51AA5">
        <w:rPr>
          <w:rFonts w:ascii="Palatino Linotype" w:hAnsi="Palatino Linotype" w:cs="Times New Roman"/>
          <w:i/>
          <w:iCs/>
          <w:noProof/>
          <w:sz w:val="18"/>
          <w:szCs w:val="24"/>
        </w:rPr>
        <w:t>Journal of Alcohol &amp; Drug Education</w:t>
      </w:r>
      <w:r w:rsidRPr="00D51AA5">
        <w:rPr>
          <w:rFonts w:ascii="Palatino Linotype" w:hAnsi="Palatino Linotype" w:cs="Times New Roman"/>
          <w:noProof/>
          <w:sz w:val="18"/>
          <w:szCs w:val="24"/>
        </w:rPr>
        <w:t xml:space="preserve">, </w:t>
      </w:r>
      <w:r w:rsidRPr="00D51AA5">
        <w:rPr>
          <w:rFonts w:ascii="Palatino Linotype" w:hAnsi="Palatino Linotype" w:cs="Times New Roman"/>
          <w:i/>
          <w:iCs/>
          <w:noProof/>
          <w:sz w:val="18"/>
          <w:szCs w:val="24"/>
        </w:rPr>
        <w:t>50</w:t>
      </w:r>
      <w:r w:rsidRPr="00D51AA5">
        <w:rPr>
          <w:rFonts w:ascii="Palatino Linotype" w:hAnsi="Palatino Linotype" w:cs="Times New Roman"/>
          <w:noProof/>
          <w:sz w:val="18"/>
          <w:szCs w:val="24"/>
        </w:rPr>
        <w:t>(1), 5–14.</w:t>
      </w:r>
    </w:p>
    <w:p w:rsidR="00D51AA5" w:rsidRPr="00D51AA5" w:rsidRDefault="00D51AA5" w:rsidP="00CF2287">
      <w:pPr>
        <w:widowControl w:val="0"/>
        <w:autoSpaceDE w:val="0"/>
        <w:autoSpaceDN w:val="0"/>
        <w:adjustRightInd w:val="0"/>
        <w:spacing w:after="120" w:line="240" w:lineRule="auto"/>
        <w:ind w:left="480" w:hanging="480"/>
        <w:jc w:val="both"/>
        <w:rPr>
          <w:rFonts w:ascii="Palatino Linotype" w:hAnsi="Palatino Linotype" w:cs="Times New Roman"/>
          <w:noProof/>
          <w:sz w:val="18"/>
          <w:szCs w:val="24"/>
        </w:rPr>
      </w:pPr>
      <w:r w:rsidRPr="00D51AA5">
        <w:rPr>
          <w:rFonts w:ascii="Palatino Linotype" w:hAnsi="Palatino Linotype" w:cs="Times New Roman"/>
          <w:noProof/>
          <w:sz w:val="18"/>
          <w:szCs w:val="24"/>
        </w:rPr>
        <w:t xml:space="preserve">Fitriani, O., Handayani, S., &amp; Asiah, N. . (2017). Determinan penyalahgunaan narkoba pada remaja di SMAN 24 Jakarta. </w:t>
      </w:r>
      <w:r w:rsidRPr="00D51AA5">
        <w:rPr>
          <w:rFonts w:ascii="Palatino Linotype" w:hAnsi="Palatino Linotype" w:cs="Times New Roman"/>
          <w:i/>
          <w:iCs/>
          <w:noProof/>
          <w:sz w:val="18"/>
          <w:szCs w:val="24"/>
        </w:rPr>
        <w:t>ARKESMAS</w:t>
      </w:r>
      <w:r w:rsidRPr="00D51AA5">
        <w:rPr>
          <w:rFonts w:ascii="Palatino Linotype" w:hAnsi="Palatino Linotype" w:cs="Times New Roman"/>
          <w:noProof/>
          <w:sz w:val="18"/>
          <w:szCs w:val="24"/>
        </w:rPr>
        <w:t xml:space="preserve">, </w:t>
      </w:r>
      <w:r w:rsidRPr="00D51AA5">
        <w:rPr>
          <w:rFonts w:ascii="Palatino Linotype" w:hAnsi="Palatino Linotype" w:cs="Times New Roman"/>
          <w:i/>
          <w:iCs/>
          <w:noProof/>
          <w:sz w:val="18"/>
          <w:szCs w:val="24"/>
        </w:rPr>
        <w:t>2</w:t>
      </w:r>
      <w:r w:rsidRPr="00D51AA5">
        <w:rPr>
          <w:rFonts w:ascii="Palatino Linotype" w:hAnsi="Palatino Linotype" w:cs="Times New Roman"/>
          <w:noProof/>
          <w:sz w:val="18"/>
          <w:szCs w:val="24"/>
        </w:rPr>
        <w:t>(1), 135–143.</w:t>
      </w:r>
    </w:p>
    <w:p w:rsidR="00D51AA5" w:rsidRPr="00D51AA5" w:rsidRDefault="00D51AA5" w:rsidP="00CF2287">
      <w:pPr>
        <w:widowControl w:val="0"/>
        <w:autoSpaceDE w:val="0"/>
        <w:autoSpaceDN w:val="0"/>
        <w:adjustRightInd w:val="0"/>
        <w:spacing w:after="120" w:line="240" w:lineRule="auto"/>
        <w:ind w:left="480" w:hanging="480"/>
        <w:jc w:val="both"/>
        <w:rPr>
          <w:rFonts w:ascii="Palatino Linotype" w:hAnsi="Palatino Linotype" w:cs="Times New Roman"/>
          <w:noProof/>
          <w:sz w:val="18"/>
          <w:szCs w:val="24"/>
        </w:rPr>
      </w:pPr>
      <w:r w:rsidRPr="00D51AA5">
        <w:rPr>
          <w:rFonts w:ascii="Palatino Linotype" w:hAnsi="Palatino Linotype" w:cs="Times New Roman"/>
          <w:noProof/>
          <w:sz w:val="18"/>
          <w:szCs w:val="24"/>
        </w:rPr>
        <w:t xml:space="preserve">Istiadi, P. R. (2012). </w:t>
      </w:r>
      <w:r w:rsidRPr="00D51AA5">
        <w:rPr>
          <w:rFonts w:ascii="Palatino Linotype" w:hAnsi="Palatino Linotype" w:cs="Times New Roman"/>
          <w:i/>
          <w:iCs/>
          <w:noProof/>
          <w:sz w:val="18"/>
          <w:szCs w:val="24"/>
        </w:rPr>
        <w:t>Pemahaman Tentang Bahaya Narkoba Dan Rokok Pada Siswa Sma N 1 Kayen Kabupaten Pati</w:t>
      </w:r>
      <w:r w:rsidRPr="00D51AA5">
        <w:rPr>
          <w:rFonts w:ascii="Palatino Linotype" w:hAnsi="Palatino Linotype" w:cs="Times New Roman"/>
          <w:noProof/>
          <w:sz w:val="18"/>
          <w:szCs w:val="24"/>
        </w:rPr>
        <w:t>. Universitas Negeri Semarang.</w:t>
      </w:r>
    </w:p>
    <w:p w:rsidR="00D51AA5" w:rsidRPr="00D51AA5" w:rsidRDefault="00D51AA5" w:rsidP="00CF2287">
      <w:pPr>
        <w:widowControl w:val="0"/>
        <w:autoSpaceDE w:val="0"/>
        <w:autoSpaceDN w:val="0"/>
        <w:adjustRightInd w:val="0"/>
        <w:spacing w:after="120" w:line="240" w:lineRule="auto"/>
        <w:ind w:left="480" w:hanging="480"/>
        <w:jc w:val="both"/>
        <w:rPr>
          <w:rFonts w:ascii="Palatino Linotype" w:hAnsi="Palatino Linotype" w:cs="Times New Roman"/>
          <w:noProof/>
          <w:sz w:val="18"/>
          <w:szCs w:val="24"/>
        </w:rPr>
      </w:pPr>
      <w:r w:rsidRPr="00D51AA5">
        <w:rPr>
          <w:rFonts w:ascii="Palatino Linotype" w:hAnsi="Palatino Linotype" w:cs="Times New Roman"/>
          <w:noProof/>
          <w:sz w:val="18"/>
          <w:szCs w:val="24"/>
        </w:rPr>
        <w:t xml:space="preserve">Kemenkes. (2014). </w:t>
      </w:r>
      <w:r w:rsidRPr="00D51AA5">
        <w:rPr>
          <w:rFonts w:ascii="Palatino Linotype" w:hAnsi="Palatino Linotype" w:cs="Times New Roman"/>
          <w:i/>
          <w:iCs/>
          <w:noProof/>
          <w:sz w:val="18"/>
          <w:szCs w:val="24"/>
        </w:rPr>
        <w:t>Dampak penyalahgunaan narkoba</w:t>
      </w:r>
      <w:r w:rsidRPr="00D51AA5">
        <w:rPr>
          <w:rFonts w:ascii="Palatino Linotype" w:hAnsi="Palatino Linotype" w:cs="Times New Roman"/>
          <w:noProof/>
          <w:sz w:val="18"/>
          <w:szCs w:val="24"/>
        </w:rPr>
        <w:t>. Jakarta.</w:t>
      </w:r>
    </w:p>
    <w:p w:rsidR="00D51AA5" w:rsidRPr="00D51AA5" w:rsidRDefault="00D51AA5" w:rsidP="00CF2287">
      <w:pPr>
        <w:widowControl w:val="0"/>
        <w:autoSpaceDE w:val="0"/>
        <w:autoSpaceDN w:val="0"/>
        <w:adjustRightInd w:val="0"/>
        <w:spacing w:after="120" w:line="240" w:lineRule="auto"/>
        <w:ind w:left="480" w:hanging="480"/>
        <w:jc w:val="both"/>
        <w:rPr>
          <w:rFonts w:ascii="Palatino Linotype" w:hAnsi="Palatino Linotype" w:cs="Times New Roman"/>
          <w:noProof/>
          <w:sz w:val="18"/>
          <w:szCs w:val="24"/>
        </w:rPr>
      </w:pPr>
      <w:r w:rsidRPr="00D51AA5">
        <w:rPr>
          <w:rFonts w:ascii="Palatino Linotype" w:hAnsi="Palatino Linotype" w:cs="Times New Roman"/>
          <w:noProof/>
          <w:sz w:val="18"/>
          <w:szCs w:val="24"/>
        </w:rPr>
        <w:t xml:space="preserve">Muslihatun, W. N., &amp; Santi, M. Y. (2015). Antisipasi Remaja Terhadap Bahaya Penyalahgunaan Narkoba dalam Triad Kesehatan Reproduksi Remaja di Sleman, </w:t>
      </w:r>
      <w:r w:rsidRPr="00D51AA5">
        <w:rPr>
          <w:rFonts w:ascii="Palatino Linotype" w:hAnsi="Palatino Linotype" w:cs="Times New Roman"/>
          <w:i/>
          <w:iCs/>
          <w:noProof/>
          <w:sz w:val="18"/>
          <w:szCs w:val="24"/>
        </w:rPr>
        <w:t>11</w:t>
      </w:r>
      <w:r w:rsidRPr="00D51AA5">
        <w:rPr>
          <w:rFonts w:ascii="Palatino Linotype" w:hAnsi="Palatino Linotype" w:cs="Times New Roman"/>
          <w:noProof/>
          <w:sz w:val="18"/>
          <w:szCs w:val="24"/>
        </w:rPr>
        <w:t>(1), 41–50.</w:t>
      </w:r>
    </w:p>
    <w:p w:rsidR="00D51AA5" w:rsidRPr="00D51AA5" w:rsidRDefault="00D51AA5" w:rsidP="00CF2287">
      <w:pPr>
        <w:widowControl w:val="0"/>
        <w:autoSpaceDE w:val="0"/>
        <w:autoSpaceDN w:val="0"/>
        <w:adjustRightInd w:val="0"/>
        <w:spacing w:after="120" w:line="240" w:lineRule="auto"/>
        <w:ind w:left="480" w:hanging="480"/>
        <w:jc w:val="both"/>
        <w:rPr>
          <w:rFonts w:ascii="Palatino Linotype" w:hAnsi="Palatino Linotype" w:cs="Times New Roman"/>
          <w:noProof/>
          <w:sz w:val="18"/>
          <w:szCs w:val="24"/>
        </w:rPr>
      </w:pPr>
      <w:r w:rsidRPr="00D51AA5">
        <w:rPr>
          <w:rFonts w:ascii="Palatino Linotype" w:hAnsi="Palatino Linotype" w:cs="Times New Roman"/>
          <w:noProof/>
          <w:sz w:val="18"/>
          <w:szCs w:val="24"/>
        </w:rPr>
        <w:t xml:space="preserve">Nagy, E., Verres, R., &amp; Grevenstein, D. (2017). Risk competence in dealing with alcohol and other drugs in adolescence. </w:t>
      </w:r>
      <w:r w:rsidRPr="00D51AA5">
        <w:rPr>
          <w:rFonts w:ascii="Palatino Linotype" w:hAnsi="Palatino Linotype" w:cs="Times New Roman"/>
          <w:i/>
          <w:iCs/>
          <w:noProof/>
          <w:sz w:val="18"/>
          <w:szCs w:val="24"/>
        </w:rPr>
        <w:t>Substance Use &amp; Misuse</w:t>
      </w:r>
      <w:r w:rsidRPr="00D51AA5">
        <w:rPr>
          <w:rFonts w:ascii="Palatino Linotype" w:hAnsi="Palatino Linotype" w:cs="Times New Roman"/>
          <w:noProof/>
          <w:sz w:val="18"/>
          <w:szCs w:val="24"/>
        </w:rPr>
        <w:t xml:space="preserve">, </w:t>
      </w:r>
      <w:r w:rsidRPr="00D51AA5">
        <w:rPr>
          <w:rFonts w:ascii="Palatino Linotype" w:hAnsi="Palatino Linotype" w:cs="Times New Roman"/>
          <w:i/>
          <w:iCs/>
          <w:noProof/>
          <w:sz w:val="18"/>
          <w:szCs w:val="24"/>
        </w:rPr>
        <w:t>52</w:t>
      </w:r>
      <w:r w:rsidRPr="00D51AA5">
        <w:rPr>
          <w:rFonts w:ascii="Palatino Linotype" w:hAnsi="Palatino Linotype" w:cs="Times New Roman"/>
          <w:noProof/>
          <w:sz w:val="18"/>
          <w:szCs w:val="24"/>
        </w:rPr>
        <w:t>(14), 1892–1909.</w:t>
      </w:r>
    </w:p>
    <w:p w:rsidR="00D51AA5" w:rsidRPr="00D51AA5" w:rsidRDefault="00D51AA5" w:rsidP="00CF2287">
      <w:pPr>
        <w:widowControl w:val="0"/>
        <w:autoSpaceDE w:val="0"/>
        <w:autoSpaceDN w:val="0"/>
        <w:adjustRightInd w:val="0"/>
        <w:spacing w:after="120" w:line="240" w:lineRule="auto"/>
        <w:ind w:left="480" w:hanging="480"/>
        <w:jc w:val="both"/>
        <w:rPr>
          <w:rFonts w:ascii="Palatino Linotype" w:hAnsi="Palatino Linotype" w:cs="Times New Roman"/>
          <w:noProof/>
          <w:sz w:val="18"/>
          <w:szCs w:val="24"/>
        </w:rPr>
      </w:pPr>
      <w:r w:rsidRPr="00D51AA5">
        <w:rPr>
          <w:rFonts w:ascii="Palatino Linotype" w:hAnsi="Palatino Linotype" w:cs="Times New Roman"/>
          <w:noProof/>
          <w:sz w:val="18"/>
          <w:szCs w:val="24"/>
        </w:rPr>
        <w:lastRenderedPageBreak/>
        <w:t xml:space="preserve">Notoatmodjo, S. (2003). </w:t>
      </w:r>
      <w:r w:rsidRPr="00D51AA5">
        <w:rPr>
          <w:rFonts w:ascii="Palatino Linotype" w:hAnsi="Palatino Linotype" w:cs="Times New Roman"/>
          <w:i/>
          <w:iCs/>
          <w:noProof/>
          <w:sz w:val="18"/>
          <w:szCs w:val="24"/>
        </w:rPr>
        <w:t>Ilmu kesehatan mayarakat</w:t>
      </w:r>
      <w:r w:rsidRPr="00D51AA5">
        <w:rPr>
          <w:rFonts w:ascii="Palatino Linotype" w:hAnsi="Palatino Linotype" w:cs="Times New Roman"/>
          <w:noProof/>
          <w:sz w:val="18"/>
          <w:szCs w:val="24"/>
        </w:rPr>
        <w:t>. Jakarta: PT RINEKA CIPTA.</w:t>
      </w:r>
    </w:p>
    <w:p w:rsidR="00D51AA5" w:rsidRPr="00D51AA5" w:rsidRDefault="00D51AA5" w:rsidP="00CF2287">
      <w:pPr>
        <w:widowControl w:val="0"/>
        <w:autoSpaceDE w:val="0"/>
        <w:autoSpaceDN w:val="0"/>
        <w:adjustRightInd w:val="0"/>
        <w:spacing w:after="120" w:line="240" w:lineRule="auto"/>
        <w:ind w:left="480" w:hanging="480"/>
        <w:jc w:val="both"/>
        <w:rPr>
          <w:rFonts w:ascii="Palatino Linotype" w:hAnsi="Palatino Linotype" w:cs="Times New Roman"/>
          <w:noProof/>
          <w:sz w:val="18"/>
          <w:szCs w:val="24"/>
        </w:rPr>
      </w:pPr>
      <w:r w:rsidRPr="00D51AA5">
        <w:rPr>
          <w:rFonts w:ascii="Palatino Linotype" w:hAnsi="Palatino Linotype" w:cs="Times New Roman"/>
          <w:noProof/>
          <w:sz w:val="18"/>
          <w:szCs w:val="24"/>
        </w:rPr>
        <w:t xml:space="preserve">Rahayu, P. (2014). Penerapan bimbingan kelompok dengan media video untuk meningkatkan pemahaman siswa tentang bahaya narkoba pada siswa kelas VIII-D SMP Negeri 2Ngoro. </w:t>
      </w:r>
      <w:r w:rsidRPr="00D51AA5">
        <w:rPr>
          <w:rFonts w:ascii="Palatino Linotype" w:hAnsi="Palatino Linotype" w:cs="Times New Roman"/>
          <w:i/>
          <w:iCs/>
          <w:noProof/>
          <w:sz w:val="18"/>
          <w:szCs w:val="24"/>
        </w:rPr>
        <w:t>Jurnal BK UNESA</w:t>
      </w:r>
      <w:r w:rsidRPr="00D51AA5">
        <w:rPr>
          <w:rFonts w:ascii="Palatino Linotype" w:hAnsi="Palatino Linotype" w:cs="Times New Roman"/>
          <w:noProof/>
          <w:sz w:val="18"/>
          <w:szCs w:val="24"/>
        </w:rPr>
        <w:t xml:space="preserve">, </w:t>
      </w:r>
      <w:r w:rsidRPr="00D51AA5">
        <w:rPr>
          <w:rFonts w:ascii="Palatino Linotype" w:hAnsi="Palatino Linotype" w:cs="Times New Roman"/>
          <w:i/>
          <w:iCs/>
          <w:noProof/>
          <w:sz w:val="18"/>
          <w:szCs w:val="24"/>
        </w:rPr>
        <w:t>4</w:t>
      </w:r>
      <w:r w:rsidRPr="00D51AA5">
        <w:rPr>
          <w:rFonts w:ascii="Palatino Linotype" w:hAnsi="Palatino Linotype" w:cs="Times New Roman"/>
          <w:noProof/>
          <w:sz w:val="18"/>
          <w:szCs w:val="24"/>
        </w:rPr>
        <w:t>(1).</w:t>
      </w:r>
    </w:p>
    <w:p w:rsidR="00D51AA5" w:rsidRPr="00D51AA5" w:rsidRDefault="00D51AA5" w:rsidP="00CF2287">
      <w:pPr>
        <w:widowControl w:val="0"/>
        <w:autoSpaceDE w:val="0"/>
        <w:autoSpaceDN w:val="0"/>
        <w:adjustRightInd w:val="0"/>
        <w:spacing w:after="120" w:line="240" w:lineRule="auto"/>
        <w:ind w:left="480" w:hanging="480"/>
        <w:jc w:val="both"/>
        <w:rPr>
          <w:rFonts w:ascii="Palatino Linotype" w:hAnsi="Palatino Linotype" w:cs="Times New Roman"/>
          <w:noProof/>
          <w:sz w:val="18"/>
          <w:szCs w:val="24"/>
        </w:rPr>
      </w:pPr>
      <w:r w:rsidRPr="00D51AA5">
        <w:rPr>
          <w:rFonts w:ascii="Palatino Linotype" w:hAnsi="Palatino Linotype" w:cs="Times New Roman"/>
          <w:noProof/>
          <w:sz w:val="18"/>
          <w:szCs w:val="24"/>
        </w:rPr>
        <w:t xml:space="preserve">Siregar, M. (2004). Faktor-faktor yang mempengaruhi penyalahgunaan narkotika pada remajastudi deskriptif di panti sosial pamardi putra “insyaf” medan. </w:t>
      </w:r>
      <w:r w:rsidRPr="00D51AA5">
        <w:rPr>
          <w:rFonts w:ascii="Palatino Linotype" w:hAnsi="Palatino Linotype" w:cs="Times New Roman"/>
          <w:i/>
          <w:iCs/>
          <w:noProof/>
          <w:sz w:val="18"/>
          <w:szCs w:val="24"/>
        </w:rPr>
        <w:t>Jurnal Pemberdayaan Komunitas</w:t>
      </w:r>
      <w:r w:rsidRPr="00D51AA5">
        <w:rPr>
          <w:rFonts w:ascii="Palatino Linotype" w:hAnsi="Palatino Linotype" w:cs="Times New Roman"/>
          <w:noProof/>
          <w:sz w:val="18"/>
          <w:szCs w:val="24"/>
        </w:rPr>
        <w:t xml:space="preserve">, </w:t>
      </w:r>
      <w:r w:rsidRPr="00D51AA5">
        <w:rPr>
          <w:rFonts w:ascii="Palatino Linotype" w:hAnsi="Palatino Linotype" w:cs="Times New Roman"/>
          <w:i/>
          <w:iCs/>
          <w:noProof/>
          <w:sz w:val="18"/>
          <w:szCs w:val="24"/>
        </w:rPr>
        <w:t>3</w:t>
      </w:r>
      <w:r w:rsidRPr="00D51AA5">
        <w:rPr>
          <w:rFonts w:ascii="Palatino Linotype" w:hAnsi="Palatino Linotype" w:cs="Times New Roman"/>
          <w:noProof/>
          <w:sz w:val="18"/>
          <w:szCs w:val="24"/>
        </w:rPr>
        <w:t>(2), 100–105.</w:t>
      </w:r>
    </w:p>
    <w:p w:rsidR="00D51AA5" w:rsidRPr="00D51AA5" w:rsidRDefault="00D51AA5" w:rsidP="00CF2287">
      <w:pPr>
        <w:widowControl w:val="0"/>
        <w:autoSpaceDE w:val="0"/>
        <w:autoSpaceDN w:val="0"/>
        <w:adjustRightInd w:val="0"/>
        <w:spacing w:after="120" w:line="240" w:lineRule="auto"/>
        <w:ind w:left="480" w:hanging="480"/>
        <w:jc w:val="both"/>
        <w:rPr>
          <w:rFonts w:ascii="Palatino Linotype" w:hAnsi="Palatino Linotype" w:cs="Times New Roman"/>
          <w:noProof/>
          <w:sz w:val="18"/>
          <w:szCs w:val="24"/>
        </w:rPr>
      </w:pPr>
      <w:r w:rsidRPr="00D51AA5">
        <w:rPr>
          <w:rFonts w:ascii="Palatino Linotype" w:hAnsi="Palatino Linotype" w:cs="Times New Roman"/>
          <w:noProof/>
          <w:sz w:val="18"/>
          <w:szCs w:val="24"/>
        </w:rPr>
        <w:t xml:space="preserve">Thomas, V.S., &amp; Rockwood, K. . (2001). Alkohol abuse, cognitive impairment and mortality among older people. </w:t>
      </w:r>
      <w:r w:rsidRPr="00D51AA5">
        <w:rPr>
          <w:rFonts w:ascii="Palatino Linotype" w:hAnsi="Palatino Linotype" w:cs="Times New Roman"/>
          <w:i/>
          <w:iCs/>
          <w:noProof/>
          <w:sz w:val="18"/>
          <w:szCs w:val="24"/>
        </w:rPr>
        <w:t>Journal of the American Geriatrics Society</w:t>
      </w:r>
      <w:r w:rsidRPr="00D51AA5">
        <w:rPr>
          <w:rFonts w:ascii="Palatino Linotype" w:hAnsi="Palatino Linotype" w:cs="Times New Roman"/>
          <w:noProof/>
          <w:sz w:val="18"/>
          <w:szCs w:val="24"/>
        </w:rPr>
        <w:t xml:space="preserve">, </w:t>
      </w:r>
      <w:r w:rsidRPr="00D51AA5">
        <w:rPr>
          <w:rFonts w:ascii="Palatino Linotype" w:hAnsi="Palatino Linotype" w:cs="Times New Roman"/>
          <w:i/>
          <w:iCs/>
          <w:noProof/>
          <w:sz w:val="18"/>
          <w:szCs w:val="24"/>
        </w:rPr>
        <w:t>49</w:t>
      </w:r>
      <w:r w:rsidRPr="00D51AA5">
        <w:rPr>
          <w:rFonts w:ascii="Palatino Linotype" w:hAnsi="Palatino Linotype" w:cs="Times New Roman"/>
          <w:noProof/>
          <w:sz w:val="18"/>
          <w:szCs w:val="24"/>
        </w:rPr>
        <w:t>(4), 415–420.</w:t>
      </w:r>
    </w:p>
    <w:p w:rsidR="00D51AA5" w:rsidRPr="00D51AA5" w:rsidRDefault="00D51AA5" w:rsidP="00CF2287">
      <w:pPr>
        <w:widowControl w:val="0"/>
        <w:autoSpaceDE w:val="0"/>
        <w:autoSpaceDN w:val="0"/>
        <w:adjustRightInd w:val="0"/>
        <w:spacing w:after="120" w:line="240" w:lineRule="auto"/>
        <w:ind w:left="480" w:hanging="480"/>
        <w:jc w:val="both"/>
        <w:rPr>
          <w:rFonts w:ascii="Palatino Linotype" w:hAnsi="Palatino Linotype" w:cs="Times New Roman"/>
          <w:noProof/>
          <w:sz w:val="18"/>
          <w:szCs w:val="24"/>
        </w:rPr>
      </w:pPr>
      <w:r w:rsidRPr="00D51AA5">
        <w:rPr>
          <w:rFonts w:ascii="Palatino Linotype" w:hAnsi="Palatino Linotype" w:cs="Times New Roman"/>
          <w:noProof/>
          <w:sz w:val="18"/>
          <w:szCs w:val="24"/>
        </w:rPr>
        <w:t xml:space="preserve">UNODC. (2013). </w:t>
      </w:r>
      <w:r w:rsidRPr="00D51AA5">
        <w:rPr>
          <w:rFonts w:ascii="Palatino Linotype" w:hAnsi="Palatino Linotype" w:cs="Times New Roman"/>
          <w:i/>
          <w:iCs/>
          <w:noProof/>
          <w:sz w:val="18"/>
          <w:szCs w:val="24"/>
        </w:rPr>
        <w:t>nternational standard on drug use prevention</w:t>
      </w:r>
      <w:r w:rsidRPr="00D51AA5">
        <w:rPr>
          <w:rFonts w:ascii="Palatino Linotype" w:hAnsi="Palatino Linotype" w:cs="Times New Roman"/>
          <w:noProof/>
          <w:sz w:val="18"/>
          <w:szCs w:val="24"/>
        </w:rPr>
        <w:t xml:space="preserve">. </w:t>
      </w:r>
      <w:r w:rsidRPr="00D51AA5">
        <w:rPr>
          <w:rFonts w:ascii="Palatino Linotype" w:hAnsi="Palatino Linotype" w:cs="Times New Roman"/>
          <w:i/>
          <w:iCs/>
          <w:noProof/>
          <w:sz w:val="18"/>
          <w:szCs w:val="24"/>
        </w:rPr>
        <w:t>United Nation Office on Drugs and Crime.</w:t>
      </w:r>
      <w:r w:rsidRPr="00D51AA5">
        <w:rPr>
          <w:rFonts w:ascii="Palatino Linotype" w:hAnsi="Palatino Linotype" w:cs="Times New Roman"/>
          <w:noProof/>
          <w:sz w:val="18"/>
          <w:szCs w:val="24"/>
        </w:rPr>
        <w:t xml:space="preserve"> Vienna.</w:t>
      </w:r>
    </w:p>
    <w:p w:rsidR="00D51AA5" w:rsidRPr="00D51AA5" w:rsidRDefault="00D51AA5" w:rsidP="00CF2287">
      <w:pPr>
        <w:widowControl w:val="0"/>
        <w:autoSpaceDE w:val="0"/>
        <w:autoSpaceDN w:val="0"/>
        <w:adjustRightInd w:val="0"/>
        <w:spacing w:after="120" w:line="240" w:lineRule="auto"/>
        <w:ind w:left="480" w:hanging="480"/>
        <w:jc w:val="both"/>
        <w:rPr>
          <w:rFonts w:ascii="Palatino Linotype" w:hAnsi="Palatino Linotype"/>
          <w:noProof/>
          <w:sz w:val="18"/>
        </w:rPr>
      </w:pPr>
      <w:r w:rsidRPr="00D51AA5">
        <w:rPr>
          <w:rFonts w:ascii="Palatino Linotype" w:hAnsi="Palatino Linotype" w:cs="Times New Roman"/>
          <w:noProof/>
          <w:sz w:val="18"/>
          <w:szCs w:val="24"/>
        </w:rPr>
        <w:t xml:space="preserve">Young, S. E., Corley, R. P., Stallings, M. C., Rhee, S. H., C., &amp; T. J., &amp; Hewitt, J. K. (2002). Substance use, abuse and dependence in adolescence: Prevalence, symptom profiles and correlates. </w:t>
      </w:r>
      <w:r w:rsidRPr="00D51AA5">
        <w:rPr>
          <w:rFonts w:ascii="Palatino Linotype" w:hAnsi="Palatino Linotype" w:cs="Times New Roman"/>
          <w:i/>
          <w:iCs/>
          <w:noProof/>
          <w:sz w:val="18"/>
          <w:szCs w:val="24"/>
        </w:rPr>
        <w:t>Drug and Alcohol Dependence</w:t>
      </w:r>
      <w:r w:rsidRPr="00D51AA5">
        <w:rPr>
          <w:rFonts w:ascii="Palatino Linotype" w:hAnsi="Palatino Linotype" w:cs="Times New Roman"/>
          <w:noProof/>
          <w:sz w:val="18"/>
          <w:szCs w:val="24"/>
        </w:rPr>
        <w:t xml:space="preserve">, </w:t>
      </w:r>
      <w:r w:rsidRPr="00D51AA5">
        <w:rPr>
          <w:rFonts w:ascii="Palatino Linotype" w:hAnsi="Palatino Linotype" w:cs="Times New Roman"/>
          <w:i/>
          <w:iCs/>
          <w:noProof/>
          <w:sz w:val="18"/>
          <w:szCs w:val="24"/>
        </w:rPr>
        <w:t>62</w:t>
      </w:r>
      <w:r w:rsidRPr="00D51AA5">
        <w:rPr>
          <w:rFonts w:ascii="Palatino Linotype" w:hAnsi="Palatino Linotype" w:cs="Times New Roman"/>
          <w:noProof/>
          <w:sz w:val="18"/>
          <w:szCs w:val="24"/>
        </w:rPr>
        <w:t>, 309–322.</w:t>
      </w:r>
    </w:p>
    <w:p w:rsidR="007F075B" w:rsidRPr="00947365" w:rsidRDefault="00E84C85" w:rsidP="00CF2287">
      <w:pPr>
        <w:widowControl w:val="0"/>
        <w:autoSpaceDE w:val="0"/>
        <w:autoSpaceDN w:val="0"/>
        <w:adjustRightInd w:val="0"/>
        <w:spacing w:after="120" w:line="240" w:lineRule="auto"/>
        <w:ind w:left="480" w:hanging="480"/>
        <w:jc w:val="both"/>
        <w:rPr>
          <w:rFonts w:ascii="Palatino Linotype" w:hAnsi="Palatino Linotype" w:cs="Times New Roman"/>
          <w:sz w:val="18"/>
          <w:szCs w:val="20"/>
          <w:lang w:val="en-US"/>
        </w:rPr>
      </w:pPr>
      <w:r>
        <w:rPr>
          <w:rFonts w:ascii="Palatino Linotype" w:hAnsi="Palatino Linotype" w:cs="Times New Roman"/>
          <w:sz w:val="18"/>
          <w:szCs w:val="20"/>
          <w:lang w:val="en-US"/>
        </w:rPr>
        <w:fldChar w:fldCharType="end"/>
      </w:r>
    </w:p>
    <w:sectPr w:rsidR="007F075B" w:rsidRPr="00947365" w:rsidSect="008917C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1134" w:bottom="1440" w:left="1134" w:header="709" w:footer="878"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0B7" w:rsidRDefault="009360B7" w:rsidP="002F378A">
      <w:pPr>
        <w:spacing w:after="0" w:line="240" w:lineRule="auto"/>
      </w:pPr>
      <w:r>
        <w:separator/>
      </w:r>
    </w:p>
  </w:endnote>
  <w:endnote w:type="continuationSeparator" w:id="1">
    <w:p w:rsidR="009360B7" w:rsidRDefault="009360B7" w:rsidP="002F3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sto MT">
    <w:altName w:val="Calisto"/>
    <w:panose1 w:val="0204060305050503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rPr>
      <w:id w:val="917831"/>
      <w:docPartObj>
        <w:docPartGallery w:val="Page Numbers (Bottom of Page)"/>
        <w:docPartUnique/>
      </w:docPartObj>
    </w:sdtPr>
    <w:sdtContent>
      <w:p w:rsidR="003C6A11" w:rsidRDefault="003C6A11" w:rsidP="008917C2">
        <w:pPr>
          <w:pStyle w:val="Footer"/>
          <w:tabs>
            <w:tab w:val="clear" w:pos="4513"/>
          </w:tabs>
          <w:jc w:val="right"/>
          <w:rPr>
            <w:rFonts w:cstheme="minorHAnsi"/>
          </w:rPr>
        </w:pPr>
        <w:r w:rsidRPr="001C568C">
          <w:rPr>
            <w:rFonts w:cstheme="minorHAnsi"/>
            <w:b/>
            <w:noProof/>
            <w:sz w:val="32"/>
            <w:lang w:val="en-US"/>
          </w:rPr>
          <w:pict>
            <v:shapetype id="_x0000_t32" coordsize="21600,21600" o:spt="32" o:oned="t" path="m,l21600,21600e" filled="f">
              <v:path arrowok="t" fillok="f" o:connecttype="none"/>
              <o:lock v:ext="edit" shapetype="t"/>
            </v:shapetype>
            <v:shape id="_x0000_s4107" type="#_x0000_t32" style="position:absolute;left:0;text-align:left;margin-left:.55pt;margin-top:1.85pt;width:455.65pt;height:0;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2735,-1,-2735" strokeweight="1.5pt"/>
          </w:pict>
        </w:r>
      </w:p>
      <w:p w:rsidR="00542AC2" w:rsidRPr="004D2B29" w:rsidRDefault="003C6A11" w:rsidP="008917C2">
        <w:pPr>
          <w:pStyle w:val="Footer"/>
          <w:tabs>
            <w:tab w:val="clear" w:pos="4513"/>
          </w:tabs>
          <w:jc w:val="right"/>
          <w:rPr>
            <w:rFonts w:cstheme="minorHAnsi"/>
          </w:rPr>
        </w:pPr>
        <w:r w:rsidRPr="00D51AA5">
          <w:rPr>
            <w:rFonts w:ascii="Palatino Linotype" w:hAnsi="Palatino Linotype" w:cs="Times New Roman"/>
            <w:szCs w:val="20"/>
          </w:rPr>
          <w:t>Description of Adolescent Understanding at SMK Negeri 9 Padang on the Dangers of Drug Abuse</w:t>
        </w:r>
        <w:r w:rsidR="008917C2" w:rsidRPr="004D2B29">
          <w:rPr>
            <w:rFonts w:cstheme="minorHAnsi"/>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CC" w:rsidRPr="004A14AD" w:rsidRDefault="001C568C" w:rsidP="004A14AD">
    <w:pPr>
      <w:pStyle w:val="Footer"/>
      <w:tabs>
        <w:tab w:val="clear" w:pos="9026"/>
        <w:tab w:val="left" w:pos="8222"/>
      </w:tabs>
      <w:rPr>
        <w:rFonts w:ascii="Arial Rounded MT Bold" w:hAnsi="Arial Rounded MT Bold" w:cs="Times New Roman"/>
        <w:b/>
        <w:sz w:val="14"/>
        <w:szCs w:val="16"/>
        <w:lang w:val="en-US"/>
      </w:rPr>
    </w:pPr>
    <w:r w:rsidRPr="001C568C">
      <w:rPr>
        <w:rFonts w:ascii="Arial Rounded MT Bold" w:hAnsi="Arial Rounded MT Bold" w:cs="Times New Roman"/>
        <w:b/>
        <w:sz w:val="14"/>
        <w:szCs w:val="16"/>
        <w:lang w:val="en-US"/>
      </w:rPr>
      <w:pict>
        <v:shapetype id="_x0000_t32" coordsize="21600,21600" o:spt="32" o:oned="t" path="m,l21600,21600e" filled="f">
          <v:path arrowok="t" fillok="f" o:connecttype="none"/>
          <o:lock v:ext="edit" shapetype="t"/>
        </v:shapetype>
        <v:shape id="_x0000_s4110" type="#_x0000_t32" style="position:absolute;margin-left:-3.7pt;margin-top:-8.3pt;width:459.1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3827,-1,-3827" strokeweight="1.5pt"/>
      </w:pict>
    </w:r>
    <w:hyperlink r:id="rId1" w:history="1">
      <w:r w:rsidR="004A14AD" w:rsidRPr="004A14AD">
        <w:rPr>
          <w:rFonts w:ascii="Arial Rounded MT Bold" w:hAnsi="Arial Rounded MT Bold" w:cs="Times New Roman"/>
          <w:b/>
          <w:sz w:val="14"/>
          <w:szCs w:val="16"/>
          <w:lang w:val="en-US"/>
        </w:rPr>
        <w:t>http://bk.ppj.unp.ac.id/index.php/ijacss/index</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CC" w:rsidRPr="00EF1E06" w:rsidRDefault="001C568C" w:rsidP="00EF1E06">
    <w:pPr>
      <w:pStyle w:val="Footer"/>
      <w:tabs>
        <w:tab w:val="clear" w:pos="4513"/>
        <w:tab w:val="clear" w:pos="9026"/>
      </w:tabs>
      <w:jc w:val="center"/>
      <w:rPr>
        <w:rFonts w:cstheme="minorHAnsi"/>
        <w:lang w:val="en-US"/>
      </w:rPr>
    </w:pPr>
    <w:r w:rsidRPr="001C568C">
      <w:rPr>
        <w:rFonts w:ascii="Times New Roman" w:hAnsi="Times New Roman" w:cs="Times New Roman"/>
        <w:b/>
        <w:noProof/>
        <w:sz w:val="32"/>
        <w:lang w:val="en-US"/>
      </w:rPr>
      <w:pict>
        <v:shapetype id="_x0000_t32" coordsize="21600,21600" o:spt="32" o:oned="t" path="m,l21600,21600e" filled="f">
          <v:path arrowok="t" fillok="f" o:connecttype="none"/>
          <o:lock v:ext="edit" shapetype="t"/>
        </v:shapetype>
        <v:shape id="_x0000_s4109" type="#_x0000_t32" style="position:absolute;left:0;text-align:left;margin-left:1.25pt;margin-top:-10.3pt;width:453.1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3978,-1,-3978" strokeweight="1.5pt"/>
      </w:pict>
    </w:r>
    <w:r w:rsidR="003B03D6">
      <w:rPr>
        <w:rStyle w:val="hps"/>
        <w:rFonts w:cstheme="minorHAnsi"/>
        <w:lang w:val="en-US"/>
      </w:rPr>
      <w:t xml:space="preserve">   </w:t>
    </w:r>
    <w:r w:rsidR="009E1326" w:rsidRPr="00D137E9">
      <w:rPr>
        <w:rStyle w:val="hps"/>
        <w:rFonts w:cstheme="minorHAnsi"/>
      </w:rPr>
      <w:t>1</w:t>
    </w:r>
    <w:r w:rsidR="009E1326">
      <w:rPr>
        <w:rStyle w:val="hps"/>
        <w:rFonts w:cstheme="min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0B7" w:rsidRDefault="009360B7" w:rsidP="002F378A">
      <w:pPr>
        <w:spacing w:after="0" w:line="240" w:lineRule="auto"/>
      </w:pPr>
      <w:r>
        <w:separator/>
      </w:r>
    </w:p>
  </w:footnote>
  <w:footnote w:type="continuationSeparator" w:id="1">
    <w:p w:rsidR="009360B7" w:rsidRDefault="009360B7" w:rsidP="002F37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rPr>
      <w:id w:val="917832"/>
      <w:docPartObj>
        <w:docPartGallery w:val="Page Numbers (Top of Page)"/>
        <w:docPartUnique/>
      </w:docPartObj>
    </w:sdtPr>
    <w:sdtContent>
      <w:p w:rsidR="00522F95" w:rsidRPr="004D2B29" w:rsidRDefault="00522F95" w:rsidP="00CA02A0">
        <w:pPr>
          <w:pStyle w:val="Footer"/>
          <w:tabs>
            <w:tab w:val="clear" w:pos="9026"/>
            <w:tab w:val="left" w:pos="8222"/>
          </w:tabs>
          <w:rPr>
            <w:rFonts w:cstheme="minorHAnsi"/>
            <w:lang w:val="en-US"/>
          </w:rPr>
        </w:pPr>
      </w:p>
      <w:p w:rsidR="002B0575" w:rsidRPr="004D2B29" w:rsidRDefault="004A14AD" w:rsidP="00CA02A0">
        <w:pPr>
          <w:pStyle w:val="Footer"/>
          <w:tabs>
            <w:tab w:val="clear" w:pos="9026"/>
            <w:tab w:val="left" w:pos="8222"/>
          </w:tabs>
          <w:rPr>
            <w:rFonts w:cstheme="minorHAnsi"/>
          </w:rPr>
        </w:pPr>
        <w:r w:rsidRPr="004A14AD">
          <w:rPr>
            <w:rFonts w:ascii="Arial Rounded MT Bold" w:hAnsi="Arial Rounded MT Bold" w:cs="Times New Roman"/>
            <w:b/>
            <w:sz w:val="14"/>
            <w:szCs w:val="16"/>
            <w:lang w:val="en-US"/>
          </w:rPr>
          <w:t>International Journal of Applied Counseling and Social Sciences</w:t>
        </w:r>
        <w:r w:rsidR="00295AE1">
          <w:rPr>
            <w:rFonts w:ascii="Times New Roman" w:hAnsi="Times New Roman" w:cs="Times New Roman"/>
            <w:b/>
            <w:sz w:val="14"/>
            <w:lang w:val="en-US"/>
          </w:rPr>
          <w:t xml:space="preserve">, </w:t>
        </w:r>
        <w:r>
          <w:rPr>
            <w:rFonts w:ascii="Arial Rounded MT Bold" w:hAnsi="Arial Rounded MT Bold" w:cs="Times New Roman"/>
            <w:sz w:val="14"/>
            <w:lang w:val="en-US"/>
          </w:rPr>
          <w:t>Vol 1 No 1 2019</w:t>
        </w:r>
        <w:r w:rsidR="00A6787D" w:rsidRPr="004D2B29">
          <w:rPr>
            <w:rFonts w:cstheme="minorHAnsi"/>
          </w:rPr>
          <w:t xml:space="preserve"> </w:t>
        </w:r>
        <w:r>
          <w:rPr>
            <w:rFonts w:cstheme="minorHAnsi"/>
            <w:lang w:val="en-US"/>
          </w:rPr>
          <w:t xml:space="preserve"> </w:t>
        </w:r>
        <w:r w:rsidR="00A6787D" w:rsidRPr="004D2B29">
          <w:rPr>
            <w:rFonts w:cstheme="minorHAnsi"/>
            <w:lang w:val="en-US"/>
          </w:rPr>
          <w:tab/>
        </w:r>
        <w:r w:rsidR="00522F95" w:rsidRPr="004D2B29">
          <w:rPr>
            <w:rFonts w:cstheme="minorHAnsi"/>
            <w:lang w:val="en-US"/>
          </w:rPr>
          <w:t xml:space="preserve">             </w:t>
        </w:r>
        <w:r w:rsidR="001C568C" w:rsidRPr="004D2B29">
          <w:rPr>
            <w:rFonts w:cstheme="minorHAnsi"/>
          </w:rPr>
          <w:fldChar w:fldCharType="begin"/>
        </w:r>
        <w:r w:rsidR="00B954B5" w:rsidRPr="004D2B29">
          <w:rPr>
            <w:rFonts w:cstheme="minorHAnsi"/>
          </w:rPr>
          <w:instrText xml:space="preserve"> PAGE   \* MERGEFORMAT </w:instrText>
        </w:r>
        <w:r w:rsidR="001C568C" w:rsidRPr="004D2B29">
          <w:rPr>
            <w:rFonts w:cstheme="minorHAnsi"/>
          </w:rPr>
          <w:fldChar w:fldCharType="separate"/>
        </w:r>
        <w:r w:rsidR="003C6A11">
          <w:rPr>
            <w:rFonts w:cstheme="minorHAnsi"/>
            <w:noProof/>
          </w:rPr>
          <w:t>6</w:t>
        </w:r>
        <w:r w:rsidR="001C568C" w:rsidRPr="004D2B29">
          <w:rPr>
            <w:rFonts w:cstheme="minorHAnsi"/>
          </w:rPr>
          <w:fldChar w:fldCharType="end"/>
        </w:r>
      </w:p>
    </w:sdtContent>
  </w:sdt>
  <w:p w:rsidR="009F2072" w:rsidRPr="004D2B29" w:rsidRDefault="001C568C">
    <w:pPr>
      <w:pStyle w:val="Header"/>
      <w:rPr>
        <w:rFonts w:cstheme="minorHAnsi"/>
      </w:rPr>
    </w:pPr>
    <w:r w:rsidRPr="001C568C">
      <w:rPr>
        <w:rFonts w:cstheme="minorHAnsi"/>
        <w:b/>
        <w:noProof/>
        <w:lang w:val="en-US"/>
      </w:rPr>
      <w:pict>
        <v:shapetype id="_x0000_t32" coordsize="21600,21600" o:spt="32" o:oned="t" path="m,l21600,21600e" filled="f">
          <v:path arrowok="t" fillok="f" o:connecttype="none"/>
          <o:lock v:ext="edit" shapetype="t"/>
        </v:shapetype>
        <v:shape id="_x0000_s4106" type="#_x0000_t32" style="position:absolute;margin-left:.55pt;margin-top:15.3pt;width:456.1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2711,-1,-2711"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rPr>
      <w:id w:val="4740617"/>
      <w:docPartObj>
        <w:docPartGallery w:val="Page Numbers (Top of Page)"/>
        <w:docPartUnique/>
      </w:docPartObj>
    </w:sdtPr>
    <w:sdtContent>
      <w:p w:rsidR="00A37B4A" w:rsidRPr="004D2B29" w:rsidRDefault="00A37B4A" w:rsidP="00A37B4A">
        <w:pPr>
          <w:tabs>
            <w:tab w:val="left" w:pos="426"/>
            <w:tab w:val="left" w:pos="8364"/>
          </w:tabs>
          <w:autoSpaceDE w:val="0"/>
          <w:autoSpaceDN w:val="0"/>
          <w:adjustRightInd w:val="0"/>
          <w:spacing w:after="0" w:line="240" w:lineRule="auto"/>
          <w:ind w:left="426" w:hanging="426"/>
          <w:jc w:val="right"/>
          <w:rPr>
            <w:rFonts w:cstheme="minorHAnsi"/>
            <w:color w:val="000000" w:themeColor="text1"/>
            <w:lang w:val="en-US"/>
          </w:rPr>
        </w:pPr>
        <w:r w:rsidRPr="004D2B29">
          <w:rPr>
            <w:rFonts w:cstheme="minorHAnsi"/>
            <w:lang w:val="en-US"/>
          </w:rPr>
          <w:tab/>
        </w:r>
        <w:r w:rsidR="003C6A11">
          <w:rPr>
            <w:rFonts w:cstheme="minorHAnsi"/>
          </w:rPr>
          <w:t>Annisa Pertiwi</w:t>
        </w:r>
        <w:r w:rsidR="001F7A29" w:rsidRPr="004D2B29">
          <w:rPr>
            <w:rFonts w:cstheme="minorHAnsi"/>
            <w:color w:val="000000" w:themeColor="text1"/>
          </w:rPr>
          <w:t xml:space="preserve">, </w:t>
        </w:r>
        <w:r w:rsidR="003C6A11">
          <w:rPr>
            <w:rFonts w:cstheme="minorHAnsi"/>
            <w:color w:val="000000" w:themeColor="text1"/>
          </w:rPr>
          <w:t>Yeni Karneli, Afdal</w:t>
        </w:r>
        <w:r w:rsidRPr="004D2B29">
          <w:rPr>
            <w:rFonts w:cstheme="minorHAnsi"/>
            <w:color w:val="000000" w:themeColor="text1"/>
            <w:lang w:val="en-US"/>
          </w:rPr>
          <w:t xml:space="preserve">       </w:t>
        </w:r>
        <w:r w:rsidR="001C568C" w:rsidRPr="004D2B29">
          <w:rPr>
            <w:rFonts w:cstheme="minorHAnsi"/>
          </w:rPr>
          <w:fldChar w:fldCharType="begin"/>
        </w:r>
        <w:r w:rsidRPr="004D2B29">
          <w:rPr>
            <w:rFonts w:cstheme="minorHAnsi"/>
          </w:rPr>
          <w:instrText xml:space="preserve"> PAGE   \* MERGEFORMAT </w:instrText>
        </w:r>
        <w:r w:rsidR="001C568C" w:rsidRPr="004D2B29">
          <w:rPr>
            <w:rFonts w:cstheme="minorHAnsi"/>
          </w:rPr>
          <w:fldChar w:fldCharType="separate"/>
        </w:r>
        <w:r w:rsidR="003C6A11">
          <w:rPr>
            <w:rFonts w:cstheme="minorHAnsi"/>
            <w:noProof/>
          </w:rPr>
          <w:t>7</w:t>
        </w:r>
        <w:r w:rsidR="001C568C" w:rsidRPr="004D2B29">
          <w:rPr>
            <w:rFonts w:cstheme="minorHAnsi"/>
          </w:rPr>
          <w:fldChar w:fldCharType="end"/>
        </w:r>
        <w:r w:rsidRPr="004D2B29">
          <w:rPr>
            <w:rFonts w:cstheme="minorHAnsi"/>
            <w:lang w:val="en-US"/>
          </w:rPr>
          <w:t xml:space="preserve">  </w:t>
        </w:r>
      </w:p>
      <w:p w:rsidR="00B032CC" w:rsidRPr="004D2B29" w:rsidRDefault="001C568C" w:rsidP="00A37B4A">
        <w:pPr>
          <w:tabs>
            <w:tab w:val="left" w:pos="426"/>
          </w:tabs>
          <w:autoSpaceDE w:val="0"/>
          <w:autoSpaceDN w:val="0"/>
          <w:adjustRightInd w:val="0"/>
          <w:spacing w:after="0" w:line="240" w:lineRule="auto"/>
          <w:ind w:left="426" w:right="423" w:hanging="426"/>
          <w:jc w:val="right"/>
          <w:rPr>
            <w:rFonts w:cstheme="minorHAnsi"/>
          </w:rPr>
        </w:pPr>
      </w:p>
    </w:sdtContent>
  </w:sdt>
  <w:p w:rsidR="00B032CC" w:rsidRPr="004D2B29" w:rsidRDefault="001C568C">
    <w:pPr>
      <w:pStyle w:val="Header"/>
      <w:rPr>
        <w:rFonts w:cstheme="minorHAnsi"/>
      </w:rPr>
    </w:pPr>
    <w:r w:rsidRPr="001C568C">
      <w:rPr>
        <w:rFonts w:cstheme="minorHAnsi"/>
        <w:b/>
        <w:noProof/>
        <w:lang w:val="en-US"/>
      </w:rPr>
      <w:pict>
        <v:shapetype id="_x0000_t32" coordsize="21600,21600" o:spt="32" o:oned="t" path="m,l21600,21600e" filled="f">
          <v:path arrowok="t" fillok="f" o:connecttype="none"/>
          <o:lock v:ext="edit" shapetype="t"/>
        </v:shapetype>
        <v:shape id="_x0000_s4108" type="#_x0000_t32" style="position:absolute;margin-left:1pt;margin-top:19.45pt;width:454.4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4090,-1,-4090" strokeweight="1.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65" w:rsidRPr="00CD1164" w:rsidRDefault="00947365" w:rsidP="00947365">
    <w:pPr>
      <w:pStyle w:val="Footer"/>
      <w:tabs>
        <w:tab w:val="clear" w:pos="4513"/>
      </w:tabs>
      <w:jc w:val="right"/>
      <w:rPr>
        <w:rFonts w:ascii="Palatino Linotype" w:hAnsi="Palatino Linotype" w:cs="Times New Roman"/>
        <w:b/>
        <w:lang w:val="en-US"/>
      </w:rPr>
    </w:pPr>
    <w:r>
      <w:rPr>
        <w:rFonts w:ascii="Palatino Linotype" w:hAnsi="Palatino Linotype" w:cs="Arial"/>
        <w:noProof/>
        <w:lang w:eastAsia="id-ID"/>
      </w:rPr>
      <w:drawing>
        <wp:anchor distT="0" distB="0" distL="114300" distR="114300" simplePos="0" relativeHeight="251676672" behindDoc="0" locked="0" layoutInCell="1" allowOverlap="1">
          <wp:simplePos x="0" y="0"/>
          <wp:positionH relativeFrom="column">
            <wp:posOffset>43096</wp:posOffset>
          </wp:positionH>
          <wp:positionV relativeFrom="paragraph">
            <wp:posOffset>-1642</wp:posOffset>
          </wp:positionV>
          <wp:extent cx="731448" cy="707366"/>
          <wp:effectExtent l="19050" t="0" r="0" b="0"/>
          <wp:wrapNone/>
          <wp:docPr id="24" name="Picture 24" descr="logoijac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ijacss"/>
                  <pic:cNvPicPr>
                    <a:picLocks noChangeAspect="1" noChangeArrowheads="1"/>
                  </pic:cNvPicPr>
                </pic:nvPicPr>
                <pic:blipFill>
                  <a:blip r:embed="rId1"/>
                  <a:srcRect/>
                  <a:stretch>
                    <a:fillRect/>
                  </a:stretch>
                </pic:blipFill>
                <pic:spPr bwMode="auto">
                  <a:xfrm>
                    <a:off x="0" y="0"/>
                    <a:ext cx="731448" cy="707366"/>
                  </a:xfrm>
                  <a:prstGeom prst="rect">
                    <a:avLst/>
                  </a:prstGeom>
                  <a:noFill/>
                </pic:spPr>
              </pic:pic>
            </a:graphicData>
          </a:graphic>
        </wp:anchor>
      </w:drawing>
    </w:r>
    <w:r w:rsidRPr="00CD1164">
      <w:rPr>
        <w:rFonts w:ascii="Palatino Linotype" w:hAnsi="Palatino Linotype" w:cs="Times New Roman"/>
        <w:b/>
        <w:lang w:val="en-US"/>
      </w:rPr>
      <w:t>International Journal of Applied Counseling and Social Sciences</w:t>
    </w:r>
  </w:p>
  <w:p w:rsidR="00947365" w:rsidRPr="00CD1164" w:rsidRDefault="00947365" w:rsidP="00947365">
    <w:pPr>
      <w:pStyle w:val="Footer"/>
      <w:tabs>
        <w:tab w:val="clear" w:pos="4513"/>
      </w:tabs>
      <w:jc w:val="right"/>
      <w:rPr>
        <w:rFonts w:ascii="Palatino Linotype" w:hAnsi="Palatino Linotype"/>
        <w:sz w:val="16"/>
        <w:lang w:val="en-US"/>
      </w:rPr>
    </w:pPr>
    <w:r w:rsidRPr="00CD1164">
      <w:rPr>
        <w:rFonts w:ascii="Palatino Linotype" w:hAnsi="Palatino Linotype"/>
        <w:sz w:val="16"/>
      </w:rPr>
      <w:t xml:space="preserve">Volume </w:t>
    </w:r>
    <w:r w:rsidRPr="00CD1164">
      <w:rPr>
        <w:rFonts w:ascii="Palatino Linotype" w:hAnsi="Palatino Linotype"/>
        <w:sz w:val="16"/>
        <w:lang w:val="en-US"/>
      </w:rPr>
      <w:t>01 Number 01 2019</w:t>
    </w:r>
  </w:p>
  <w:p w:rsidR="00947365" w:rsidRPr="00CD1164" w:rsidRDefault="00947365" w:rsidP="00947365">
    <w:pPr>
      <w:pStyle w:val="Header"/>
      <w:tabs>
        <w:tab w:val="clear" w:pos="4513"/>
        <w:tab w:val="clear" w:pos="9026"/>
        <w:tab w:val="left" w:pos="1942"/>
      </w:tabs>
      <w:ind w:left="-142" w:firstLine="142"/>
      <w:jc w:val="right"/>
      <w:rPr>
        <w:rFonts w:ascii="Palatino Linotype" w:hAnsi="Palatino Linotype"/>
        <w:sz w:val="18"/>
        <w:szCs w:val="20"/>
        <w:lang w:val="en-US"/>
      </w:rPr>
    </w:pPr>
    <w:r w:rsidRPr="00CD1164">
      <w:rPr>
        <w:rFonts w:ascii="Palatino Linotype" w:hAnsi="Palatino Linotype"/>
        <w:sz w:val="18"/>
        <w:szCs w:val="20"/>
        <w:lang w:val="en-US"/>
      </w:rPr>
      <w:t xml:space="preserve">DOI: </w:t>
    </w:r>
    <w:r w:rsidRPr="004B62B2">
      <w:rPr>
        <w:rFonts w:ascii="Palatino Linotype" w:hAnsi="Palatino Linotype"/>
        <w:sz w:val="18"/>
        <w:szCs w:val="20"/>
        <w:lang w:val="en-US"/>
      </w:rPr>
      <w:t>10.24036/005298ijaccs</w:t>
    </w:r>
  </w:p>
  <w:p w:rsidR="00947365" w:rsidRPr="00CD1164" w:rsidRDefault="00947365" w:rsidP="00947365">
    <w:pPr>
      <w:pStyle w:val="Footer"/>
      <w:tabs>
        <w:tab w:val="clear" w:pos="4513"/>
      </w:tabs>
      <w:jc w:val="right"/>
      <w:rPr>
        <w:rFonts w:ascii="Palatino Linotype" w:hAnsi="Palatino Linotype"/>
        <w:i/>
        <w:sz w:val="18"/>
        <w:lang w:val="en-US"/>
      </w:rPr>
    </w:pPr>
    <w:r w:rsidRPr="00CD1164">
      <w:rPr>
        <w:rFonts w:ascii="Palatino Linotype" w:hAnsi="Palatino Linotype"/>
        <w:i/>
        <w:vanish/>
        <w:sz w:val="18"/>
        <w:lang w:val="en-US"/>
      </w:rPr>
      <w:t xml:space="preserve">   Nomor 2</w:t>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r w:rsidRPr="00CD1164">
      <w:rPr>
        <w:rFonts w:ascii="Palatino Linotype" w:hAnsi="Palatino Linotype"/>
        <w:i/>
        <w:vanish/>
        <w:sz w:val="18"/>
        <w:lang w:val="en-US"/>
      </w:rPr>
      <w:pgNum/>
    </w:r>
  </w:p>
  <w:p w:rsidR="00947365" w:rsidRPr="00CD1164" w:rsidRDefault="001C568C" w:rsidP="00947365">
    <w:pPr>
      <w:autoSpaceDE w:val="0"/>
      <w:autoSpaceDN w:val="0"/>
      <w:adjustRightInd w:val="0"/>
      <w:spacing w:after="0"/>
      <w:jc w:val="right"/>
      <w:rPr>
        <w:rFonts w:ascii="Palatino Linotype" w:hAnsi="Palatino Linotype" w:cs="Calibri"/>
        <w:sz w:val="16"/>
        <w:szCs w:val="16"/>
        <w:lang w:val="en-US"/>
      </w:rPr>
    </w:pPr>
    <w:r w:rsidRPr="001C568C">
      <w:rPr>
        <w:rFonts w:ascii="Palatino Linotype" w:hAnsi="Palatino Linotype"/>
        <w:noProof/>
        <w:sz w:val="18"/>
        <w:lang w:val="en-US"/>
      </w:rPr>
      <w:pict>
        <v:rect id="_x0000_s4119" style="position:absolute;left:0;text-align:left;margin-left:3pt;margin-top:2.55pt;width:58.25pt;height:26.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" filled="f" strokecolor="white">
          <v:textbox style="mso-next-textbox:#_x0000_s4119">
            <w:txbxContent>
              <w:p w:rsidR="00947365" w:rsidRPr="00CD1164" w:rsidRDefault="00947365" w:rsidP="00947365">
                <w:pPr>
                  <w:pStyle w:val="Footer"/>
                  <w:jc w:val="center"/>
                  <w:rPr>
                    <w:rFonts w:ascii="Palatino Linotype" w:hAnsi="Palatino Linotype"/>
                    <w:b/>
                    <w:sz w:val="20"/>
                    <w:lang w:val="en-US"/>
                  </w:rPr>
                </w:pPr>
                <w:r w:rsidRPr="00CD1164">
                  <w:rPr>
                    <w:rFonts w:ascii="Palatino Linotype" w:hAnsi="Palatino Linotype"/>
                    <w:b/>
                    <w:sz w:val="20"/>
                    <w:lang w:val="en-US"/>
                  </w:rPr>
                  <w:t>IJACSS</w:t>
                </w:r>
              </w:p>
            </w:txbxContent>
          </v:textbox>
        </v:rect>
      </w:pict>
    </w:r>
    <w:r w:rsidR="00947365" w:rsidRPr="00CD1164">
      <w:rPr>
        <w:rFonts w:ascii="Palatino Linotype" w:hAnsi="Palatino Linotype" w:cs="Calibri"/>
        <w:sz w:val="16"/>
        <w:szCs w:val="16"/>
        <w:lang w:val="en-US"/>
      </w:rPr>
      <w:t xml:space="preserve">Received </w:t>
    </w:r>
    <w:r w:rsidR="00947365">
      <w:rPr>
        <w:rFonts w:ascii="Palatino Linotype" w:hAnsi="Palatino Linotype" w:cs="Calibri"/>
        <w:sz w:val="16"/>
        <w:szCs w:val="16"/>
        <w:lang w:val="en-US"/>
      </w:rPr>
      <w:t>January 10</w:t>
    </w:r>
    <w:r w:rsidR="00947365">
      <w:rPr>
        <w:rFonts w:ascii="Palatino Linotype" w:hAnsi="Palatino Linotype" w:cs="Calibri"/>
        <w:sz w:val="16"/>
        <w:szCs w:val="16"/>
        <w:vertAlign w:val="superscript"/>
        <w:lang w:val="en-US"/>
      </w:rPr>
      <w:t>th</w:t>
    </w:r>
    <w:r w:rsidR="00947365">
      <w:rPr>
        <w:rFonts w:ascii="Palatino Linotype" w:hAnsi="Palatino Linotype" w:cs="Calibri"/>
        <w:sz w:val="16"/>
        <w:szCs w:val="16"/>
        <w:lang w:val="en-US"/>
      </w:rPr>
      <w:t xml:space="preserve"> </w:t>
    </w:r>
    <w:r w:rsidR="00947365" w:rsidRPr="00CD1164">
      <w:rPr>
        <w:rFonts w:ascii="Palatino Linotype" w:hAnsi="Palatino Linotype" w:cs="Calibri"/>
        <w:sz w:val="16"/>
        <w:szCs w:val="16"/>
        <w:lang w:val="en-US"/>
      </w:rPr>
      <w:t>, 20</w:t>
    </w:r>
    <w:r w:rsidR="00947365">
      <w:rPr>
        <w:rFonts w:ascii="Palatino Linotype" w:hAnsi="Palatino Linotype" w:cs="Calibri"/>
        <w:sz w:val="16"/>
        <w:szCs w:val="16"/>
        <w:lang w:val="en-US"/>
      </w:rPr>
      <w:t>19</w:t>
    </w:r>
    <w:r w:rsidR="00947365" w:rsidRPr="00CD1164">
      <w:rPr>
        <w:rFonts w:ascii="Palatino Linotype" w:hAnsi="Palatino Linotype" w:cs="Calibri"/>
        <w:sz w:val="16"/>
        <w:szCs w:val="16"/>
        <w:lang w:val="en-US"/>
      </w:rPr>
      <w:t xml:space="preserve">; Revised </w:t>
    </w:r>
    <w:r w:rsidR="00947365">
      <w:rPr>
        <w:rFonts w:ascii="Palatino Linotype" w:hAnsi="Palatino Linotype" w:cs="Calibri"/>
        <w:sz w:val="16"/>
        <w:szCs w:val="16"/>
        <w:lang w:val="en-US"/>
      </w:rPr>
      <w:t>February 25</w:t>
    </w:r>
    <w:r w:rsidR="00947365" w:rsidRPr="00CD1164">
      <w:rPr>
        <w:rFonts w:ascii="Palatino Linotype" w:hAnsi="Palatino Linotype" w:cs="Calibri"/>
        <w:sz w:val="16"/>
        <w:szCs w:val="16"/>
        <w:vertAlign w:val="superscript"/>
        <w:lang w:val="en-US"/>
      </w:rPr>
      <w:t>th</w:t>
    </w:r>
    <w:r w:rsidR="00947365">
      <w:rPr>
        <w:rFonts w:ascii="Palatino Linotype" w:hAnsi="Palatino Linotype" w:cs="Calibri"/>
        <w:sz w:val="16"/>
        <w:szCs w:val="16"/>
        <w:lang w:val="en-US"/>
      </w:rPr>
      <w:t xml:space="preserve"> </w:t>
    </w:r>
    <w:r w:rsidR="00947365" w:rsidRPr="00CD1164">
      <w:rPr>
        <w:rFonts w:ascii="Palatino Linotype" w:hAnsi="Palatino Linotype" w:cs="Calibri"/>
        <w:sz w:val="16"/>
        <w:szCs w:val="16"/>
        <w:lang w:val="en-US"/>
      </w:rPr>
      <w:t>, 20</w:t>
    </w:r>
    <w:r w:rsidR="00947365">
      <w:rPr>
        <w:rFonts w:ascii="Palatino Linotype" w:hAnsi="Palatino Linotype" w:cs="Calibri"/>
        <w:sz w:val="16"/>
        <w:szCs w:val="16"/>
        <w:lang w:val="en-US"/>
      </w:rPr>
      <w:t>19</w:t>
    </w:r>
    <w:r w:rsidR="00947365" w:rsidRPr="00CD1164">
      <w:rPr>
        <w:rFonts w:ascii="Palatino Linotype" w:hAnsi="Palatino Linotype" w:cs="Calibri"/>
        <w:sz w:val="16"/>
        <w:szCs w:val="16"/>
        <w:lang w:val="en-US"/>
      </w:rPr>
      <w:t xml:space="preserve">; Accepted </w:t>
    </w:r>
    <w:r w:rsidR="00947365">
      <w:rPr>
        <w:rFonts w:ascii="Palatino Linotype" w:hAnsi="Palatino Linotype" w:cs="Calibri"/>
        <w:sz w:val="16"/>
        <w:szCs w:val="16"/>
        <w:lang w:val="en-US"/>
      </w:rPr>
      <w:t>August 27</w:t>
    </w:r>
    <w:r w:rsidR="00947365" w:rsidRPr="00CD1164">
      <w:rPr>
        <w:rFonts w:ascii="Palatino Linotype" w:hAnsi="Palatino Linotype" w:cs="Calibri"/>
        <w:sz w:val="16"/>
        <w:szCs w:val="16"/>
        <w:vertAlign w:val="superscript"/>
        <w:lang w:val="en-US"/>
      </w:rPr>
      <w:t>th</w:t>
    </w:r>
    <w:r w:rsidR="00947365">
      <w:rPr>
        <w:rFonts w:ascii="Palatino Linotype" w:hAnsi="Palatino Linotype" w:cs="Calibri"/>
        <w:sz w:val="16"/>
        <w:szCs w:val="16"/>
        <w:lang w:val="en-US"/>
      </w:rPr>
      <w:t xml:space="preserve"> </w:t>
    </w:r>
    <w:r w:rsidR="00947365" w:rsidRPr="00CD1164">
      <w:rPr>
        <w:rFonts w:ascii="Palatino Linotype" w:hAnsi="Palatino Linotype" w:cs="Calibri"/>
        <w:sz w:val="16"/>
        <w:szCs w:val="16"/>
        <w:lang w:val="en-US"/>
      </w:rPr>
      <w:t>, 20</w:t>
    </w:r>
    <w:r w:rsidR="00947365">
      <w:rPr>
        <w:rFonts w:ascii="Palatino Linotype" w:hAnsi="Palatino Linotype" w:cs="Calibri"/>
        <w:sz w:val="16"/>
        <w:szCs w:val="16"/>
        <w:lang w:val="en-US"/>
      </w:rPr>
      <w:t>19</w:t>
    </w:r>
  </w:p>
  <w:p w:rsidR="001706E0" w:rsidRPr="00947365" w:rsidRDefault="001C568C" w:rsidP="00947365">
    <w:pPr>
      <w:pStyle w:val="Header"/>
      <w:rPr>
        <w:rFonts w:ascii="Palatino Linotype" w:hAnsi="Palatino Linotype"/>
        <w:lang w:val="en-US"/>
      </w:rPr>
    </w:pPr>
    <w:r w:rsidRPr="001C568C">
      <w:rPr>
        <w:rFonts w:ascii="Palatino Linotype" w:hAnsi="Palatino Linotype" w:cs="Times New Roman"/>
        <w:b/>
        <w:noProof/>
        <w:sz w:val="32"/>
        <w:lang w:val="en-US"/>
      </w:rPr>
      <w:pict>
        <v:shapetype id="_x0000_t32" coordsize="21600,21600" o:spt="32" o:oned="t" path="m,l21600,21600e" filled="f">
          <v:path arrowok="t" fillok="f" o:connecttype="none"/>
          <o:lock v:ext="edit" shapetype="t"/>
        </v:shapetype>
        <v:shape id="AutoShape 2" o:spid="_x0000_s4118" type="#_x0000_t32" style="position:absolute;margin-left:-1.6pt;margin-top:11pt;width:453.1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3978,-1,-3978"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3C"/>
    <w:multiLevelType w:val="hybridMultilevel"/>
    <w:tmpl w:val="00007E87"/>
    <w:lvl w:ilvl="0" w:tplc="0000390C">
      <w:start w:val="3"/>
      <w:numFmt w:val="decimal"/>
      <w:lvlText w:val="%1."/>
      <w:lvlJc w:val="left"/>
      <w:pPr>
        <w:tabs>
          <w:tab w:val="num" w:pos="720"/>
        </w:tabs>
        <w:ind w:left="720" w:hanging="360"/>
      </w:pPr>
      <w:rPr>
        <w:rFonts w:cs="Times New Roman"/>
      </w:rPr>
    </w:lvl>
    <w:lvl w:ilvl="1" w:tplc="00000F3E">
      <w:start w:val="1"/>
      <w:numFmt w:val="lowerLetter"/>
      <w:lvlText w:val="%2."/>
      <w:lvlJc w:val="left"/>
      <w:pPr>
        <w:tabs>
          <w:tab w:val="num" w:pos="1440"/>
        </w:tabs>
        <w:ind w:left="1440" w:hanging="360"/>
      </w:pPr>
      <w:rPr>
        <w:rFonts w:cs="Times New Roman"/>
      </w:rPr>
    </w:lvl>
    <w:lvl w:ilvl="2" w:tplc="00000099">
      <w:start w:val="1"/>
      <w:numFmt w:val="bullet"/>
      <w:lvlText w:val="1"/>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rawingGridHorizontalSpacing w:val="110"/>
  <w:displayHorizontalDrawingGridEvery w:val="2"/>
  <w:characterSpacingControl w:val="doNotCompress"/>
  <w:hdrShapeDefaults>
    <o:shapedefaults v:ext="edit" spidmax="41986"/>
    <o:shapelayout v:ext="edit">
      <o:idmap v:ext="edit" data="4"/>
      <o:rules v:ext="edit">
        <o:r id="V:Rule7" type="connector" idref="#_x0000_s4106"/>
        <o:r id="V:Rule8" type="connector" idref="#AutoShape 2"/>
        <o:r id="V:Rule9" type="connector" idref="#_x0000_s4107"/>
        <o:r id="V:Rule10" type="connector" idref="#_x0000_s4108"/>
        <o:r id="V:Rule11" type="connector" idref="#_x0000_s4110"/>
        <o:r id="V:Rule12" type="connector" idref="#_x0000_s4109"/>
      </o:rules>
    </o:shapelayout>
  </w:hdrShapeDefaults>
  <w:footnotePr>
    <w:footnote w:id="0"/>
    <w:footnote w:id="1"/>
  </w:footnotePr>
  <w:endnotePr>
    <w:endnote w:id="0"/>
    <w:endnote w:id="1"/>
  </w:endnotePr>
  <w:compat>
    <w:useFELayout/>
  </w:compat>
  <w:rsids>
    <w:rsidRoot w:val="009E059D"/>
    <w:rsid w:val="00001C13"/>
    <w:rsid w:val="000111C1"/>
    <w:rsid w:val="0001629F"/>
    <w:rsid w:val="00054684"/>
    <w:rsid w:val="00062CF3"/>
    <w:rsid w:val="00093C63"/>
    <w:rsid w:val="000B603E"/>
    <w:rsid w:val="000C72BA"/>
    <w:rsid w:val="000E1584"/>
    <w:rsid w:val="000E3CB2"/>
    <w:rsid w:val="000E70D3"/>
    <w:rsid w:val="00114AEB"/>
    <w:rsid w:val="001227C8"/>
    <w:rsid w:val="001416A1"/>
    <w:rsid w:val="00166EED"/>
    <w:rsid w:val="001676B5"/>
    <w:rsid w:val="001706E0"/>
    <w:rsid w:val="001944FA"/>
    <w:rsid w:val="001C0A7A"/>
    <w:rsid w:val="001C568C"/>
    <w:rsid w:val="001D760D"/>
    <w:rsid w:val="001E53A8"/>
    <w:rsid w:val="001E7CEB"/>
    <w:rsid w:val="001F00BA"/>
    <w:rsid w:val="001F4CDE"/>
    <w:rsid w:val="001F7A29"/>
    <w:rsid w:val="00211C73"/>
    <w:rsid w:val="00223BC4"/>
    <w:rsid w:val="002324EE"/>
    <w:rsid w:val="00233262"/>
    <w:rsid w:val="0026295B"/>
    <w:rsid w:val="00262CBD"/>
    <w:rsid w:val="0026683F"/>
    <w:rsid w:val="002773B4"/>
    <w:rsid w:val="00295AE1"/>
    <w:rsid w:val="002A2DF0"/>
    <w:rsid w:val="002A68DE"/>
    <w:rsid w:val="002B0575"/>
    <w:rsid w:val="002C5ABB"/>
    <w:rsid w:val="002F378A"/>
    <w:rsid w:val="00305CF7"/>
    <w:rsid w:val="00322F1A"/>
    <w:rsid w:val="00342403"/>
    <w:rsid w:val="003858F3"/>
    <w:rsid w:val="003A7EE6"/>
    <w:rsid w:val="003B03D6"/>
    <w:rsid w:val="003B5582"/>
    <w:rsid w:val="003B6C40"/>
    <w:rsid w:val="003C6A11"/>
    <w:rsid w:val="003E7EDB"/>
    <w:rsid w:val="00446601"/>
    <w:rsid w:val="00450EE0"/>
    <w:rsid w:val="00464D98"/>
    <w:rsid w:val="004702CB"/>
    <w:rsid w:val="00487C52"/>
    <w:rsid w:val="00495E5D"/>
    <w:rsid w:val="004A14AD"/>
    <w:rsid w:val="004A5672"/>
    <w:rsid w:val="004B731D"/>
    <w:rsid w:val="004D06AE"/>
    <w:rsid w:val="004D2B29"/>
    <w:rsid w:val="004D6490"/>
    <w:rsid w:val="005007C8"/>
    <w:rsid w:val="00514346"/>
    <w:rsid w:val="00522F95"/>
    <w:rsid w:val="00542AC2"/>
    <w:rsid w:val="005D3488"/>
    <w:rsid w:val="005D3AB1"/>
    <w:rsid w:val="005E7EBB"/>
    <w:rsid w:val="005F0093"/>
    <w:rsid w:val="006050A6"/>
    <w:rsid w:val="0061226B"/>
    <w:rsid w:val="00612CC4"/>
    <w:rsid w:val="00622F52"/>
    <w:rsid w:val="006231A6"/>
    <w:rsid w:val="0064003A"/>
    <w:rsid w:val="00662EF4"/>
    <w:rsid w:val="00694735"/>
    <w:rsid w:val="006A2AD0"/>
    <w:rsid w:val="006B7EF9"/>
    <w:rsid w:val="006D2312"/>
    <w:rsid w:val="006E1D40"/>
    <w:rsid w:val="006F3F7A"/>
    <w:rsid w:val="00712F37"/>
    <w:rsid w:val="0071384B"/>
    <w:rsid w:val="007154D1"/>
    <w:rsid w:val="007519C1"/>
    <w:rsid w:val="0076425E"/>
    <w:rsid w:val="00764C5C"/>
    <w:rsid w:val="00784C80"/>
    <w:rsid w:val="007A6480"/>
    <w:rsid w:val="007B2E37"/>
    <w:rsid w:val="007C7C03"/>
    <w:rsid w:val="007D3B4B"/>
    <w:rsid w:val="007F075B"/>
    <w:rsid w:val="0080629E"/>
    <w:rsid w:val="00814EDB"/>
    <w:rsid w:val="00816C0C"/>
    <w:rsid w:val="008324D0"/>
    <w:rsid w:val="00842A7C"/>
    <w:rsid w:val="00866AE3"/>
    <w:rsid w:val="00870E7A"/>
    <w:rsid w:val="00885DB5"/>
    <w:rsid w:val="0088703B"/>
    <w:rsid w:val="008908BB"/>
    <w:rsid w:val="008917C2"/>
    <w:rsid w:val="0089779A"/>
    <w:rsid w:val="008A013A"/>
    <w:rsid w:val="008A284A"/>
    <w:rsid w:val="00905A94"/>
    <w:rsid w:val="009114C9"/>
    <w:rsid w:val="00930823"/>
    <w:rsid w:val="009360B7"/>
    <w:rsid w:val="00937218"/>
    <w:rsid w:val="009414D9"/>
    <w:rsid w:val="00947365"/>
    <w:rsid w:val="009557ED"/>
    <w:rsid w:val="00962AC6"/>
    <w:rsid w:val="009675FB"/>
    <w:rsid w:val="00993325"/>
    <w:rsid w:val="0099543A"/>
    <w:rsid w:val="009D1316"/>
    <w:rsid w:val="009E059D"/>
    <w:rsid w:val="009E1326"/>
    <w:rsid w:val="009F2072"/>
    <w:rsid w:val="00A02445"/>
    <w:rsid w:val="00A05A8F"/>
    <w:rsid w:val="00A14026"/>
    <w:rsid w:val="00A2041E"/>
    <w:rsid w:val="00A37B4A"/>
    <w:rsid w:val="00A4289C"/>
    <w:rsid w:val="00A57587"/>
    <w:rsid w:val="00A60A60"/>
    <w:rsid w:val="00A6787D"/>
    <w:rsid w:val="00A74BB4"/>
    <w:rsid w:val="00A84A90"/>
    <w:rsid w:val="00A930BB"/>
    <w:rsid w:val="00AC54CF"/>
    <w:rsid w:val="00AD3822"/>
    <w:rsid w:val="00AF4F90"/>
    <w:rsid w:val="00B03044"/>
    <w:rsid w:val="00B032CC"/>
    <w:rsid w:val="00B27E20"/>
    <w:rsid w:val="00B3160D"/>
    <w:rsid w:val="00B51886"/>
    <w:rsid w:val="00B9102C"/>
    <w:rsid w:val="00B954B5"/>
    <w:rsid w:val="00BC525C"/>
    <w:rsid w:val="00C01ACB"/>
    <w:rsid w:val="00C13BB5"/>
    <w:rsid w:val="00C23929"/>
    <w:rsid w:val="00C3205B"/>
    <w:rsid w:val="00C354FA"/>
    <w:rsid w:val="00C4061C"/>
    <w:rsid w:val="00C545EE"/>
    <w:rsid w:val="00C73E08"/>
    <w:rsid w:val="00CA02A0"/>
    <w:rsid w:val="00CA2820"/>
    <w:rsid w:val="00CA4777"/>
    <w:rsid w:val="00CB414D"/>
    <w:rsid w:val="00CB5618"/>
    <w:rsid w:val="00CF2287"/>
    <w:rsid w:val="00D14608"/>
    <w:rsid w:val="00D16D39"/>
    <w:rsid w:val="00D25A12"/>
    <w:rsid w:val="00D32F94"/>
    <w:rsid w:val="00D3683D"/>
    <w:rsid w:val="00D42822"/>
    <w:rsid w:val="00D51AA5"/>
    <w:rsid w:val="00D54B02"/>
    <w:rsid w:val="00D655FB"/>
    <w:rsid w:val="00D832C5"/>
    <w:rsid w:val="00D87B8C"/>
    <w:rsid w:val="00D94F12"/>
    <w:rsid w:val="00DC511F"/>
    <w:rsid w:val="00DF36EF"/>
    <w:rsid w:val="00DF604D"/>
    <w:rsid w:val="00E10E1F"/>
    <w:rsid w:val="00E23D45"/>
    <w:rsid w:val="00E23D4A"/>
    <w:rsid w:val="00E524DD"/>
    <w:rsid w:val="00E84C85"/>
    <w:rsid w:val="00EA0B00"/>
    <w:rsid w:val="00EA3814"/>
    <w:rsid w:val="00EF1E06"/>
    <w:rsid w:val="00EF6AAA"/>
    <w:rsid w:val="00F0120A"/>
    <w:rsid w:val="00F306FF"/>
    <w:rsid w:val="00F45BF6"/>
    <w:rsid w:val="00F57E09"/>
    <w:rsid w:val="00F7263E"/>
    <w:rsid w:val="00FA298B"/>
    <w:rsid w:val="00FE0C4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8A"/>
    <w:pPr>
      <w:spacing w:after="200" w:line="276" w:lineRule="auto"/>
    </w:pPr>
    <w:rPr>
      <w:rFonts w:eastAsia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F378A"/>
    <w:pPr>
      <w:ind w:left="720"/>
      <w:contextualSpacing/>
    </w:pPr>
  </w:style>
  <w:style w:type="paragraph" w:styleId="FootnoteText">
    <w:name w:val="footnote text"/>
    <w:basedOn w:val="Normal"/>
    <w:link w:val="FootnoteTextChar"/>
    <w:uiPriority w:val="99"/>
    <w:semiHidden/>
    <w:unhideWhenUsed/>
    <w:rsid w:val="002F3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78A"/>
    <w:rPr>
      <w:rFonts w:eastAsiaTheme="minorHAnsi"/>
      <w:sz w:val="20"/>
      <w:szCs w:val="20"/>
      <w:lang w:eastAsia="en-US"/>
    </w:rPr>
  </w:style>
  <w:style w:type="character" w:styleId="FootnoteReference">
    <w:name w:val="footnote reference"/>
    <w:basedOn w:val="DefaultParagraphFont"/>
    <w:uiPriority w:val="99"/>
    <w:semiHidden/>
    <w:unhideWhenUsed/>
    <w:rsid w:val="002F378A"/>
    <w:rPr>
      <w:vertAlign w:val="superscript"/>
    </w:rPr>
  </w:style>
  <w:style w:type="paragraph" w:styleId="Header">
    <w:name w:val="header"/>
    <w:basedOn w:val="Normal"/>
    <w:link w:val="HeaderChar"/>
    <w:uiPriority w:val="99"/>
    <w:unhideWhenUsed/>
    <w:rsid w:val="002F3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78A"/>
    <w:rPr>
      <w:rFonts w:eastAsiaTheme="minorHAnsi"/>
      <w:lang w:eastAsia="en-US"/>
    </w:rPr>
  </w:style>
  <w:style w:type="paragraph" w:styleId="Footer">
    <w:name w:val="footer"/>
    <w:basedOn w:val="Normal"/>
    <w:link w:val="FooterChar"/>
    <w:uiPriority w:val="99"/>
    <w:unhideWhenUsed/>
    <w:rsid w:val="002F3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78A"/>
    <w:rPr>
      <w:rFonts w:eastAsiaTheme="minorHAnsi"/>
      <w:lang w:eastAsia="en-US"/>
    </w:rPr>
  </w:style>
  <w:style w:type="character" w:customStyle="1" w:styleId="hps">
    <w:name w:val="hps"/>
    <w:basedOn w:val="DefaultParagraphFont"/>
    <w:rsid w:val="002F378A"/>
  </w:style>
  <w:style w:type="paragraph" w:styleId="BodyText">
    <w:name w:val="Body Text"/>
    <w:basedOn w:val="Normal"/>
    <w:link w:val="BodyTextChar"/>
    <w:uiPriority w:val="99"/>
    <w:unhideWhenUsed/>
    <w:rsid w:val="002F378A"/>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2F378A"/>
    <w:rPr>
      <w:rFonts w:ascii="Times New Roman" w:eastAsia="Times New Roman" w:hAnsi="Times New Roman" w:cs="Times New Roman"/>
      <w:sz w:val="20"/>
      <w:szCs w:val="20"/>
      <w:lang w:val="en-US" w:eastAsia="en-US"/>
    </w:rPr>
  </w:style>
  <w:style w:type="table" w:styleId="TableGrid">
    <w:name w:val="Table Grid"/>
    <w:basedOn w:val="TableNormal"/>
    <w:uiPriority w:val="59"/>
    <w:rsid w:val="002F378A"/>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F378A"/>
    <w:pPr>
      <w:spacing w:after="120"/>
      <w:ind w:left="283"/>
    </w:pPr>
  </w:style>
  <w:style w:type="character" w:customStyle="1" w:styleId="BodyTextIndentChar">
    <w:name w:val="Body Text Indent Char"/>
    <w:basedOn w:val="DefaultParagraphFont"/>
    <w:link w:val="BodyTextIndent"/>
    <w:uiPriority w:val="99"/>
    <w:semiHidden/>
    <w:rsid w:val="002F378A"/>
    <w:rPr>
      <w:rFonts w:eastAsiaTheme="minorHAnsi"/>
      <w:lang w:eastAsia="en-US"/>
    </w:rPr>
  </w:style>
  <w:style w:type="character" w:styleId="Hyperlink">
    <w:name w:val="Hyperlink"/>
    <w:basedOn w:val="DefaultParagraphFont"/>
    <w:uiPriority w:val="99"/>
    <w:unhideWhenUsed/>
    <w:rsid w:val="002F378A"/>
    <w:rPr>
      <w:color w:val="0563C1" w:themeColor="hyperlink"/>
      <w:u w:val="single"/>
    </w:rPr>
  </w:style>
  <w:style w:type="paragraph" w:styleId="BodyTextIndent2">
    <w:name w:val="Body Text Indent 2"/>
    <w:basedOn w:val="Normal"/>
    <w:link w:val="BodyTextIndent2Char"/>
    <w:uiPriority w:val="99"/>
    <w:unhideWhenUsed/>
    <w:rsid w:val="002F378A"/>
    <w:pPr>
      <w:spacing w:after="120" w:line="480" w:lineRule="auto"/>
      <w:ind w:left="283"/>
    </w:pPr>
  </w:style>
  <w:style w:type="character" w:customStyle="1" w:styleId="BodyTextIndent2Char">
    <w:name w:val="Body Text Indent 2 Char"/>
    <w:basedOn w:val="DefaultParagraphFont"/>
    <w:link w:val="BodyTextIndent2"/>
    <w:uiPriority w:val="99"/>
    <w:rsid w:val="002F378A"/>
    <w:rPr>
      <w:rFonts w:eastAsiaTheme="minorHAnsi"/>
      <w:lang w:eastAsia="en-US"/>
    </w:rPr>
  </w:style>
  <w:style w:type="paragraph" w:styleId="BalloonText">
    <w:name w:val="Balloon Text"/>
    <w:basedOn w:val="Normal"/>
    <w:link w:val="BalloonTextChar"/>
    <w:uiPriority w:val="99"/>
    <w:semiHidden/>
    <w:unhideWhenUsed/>
    <w:rsid w:val="002F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78A"/>
    <w:rPr>
      <w:rFonts w:ascii="Tahoma" w:eastAsiaTheme="minorHAnsi" w:hAnsi="Tahoma" w:cs="Tahoma"/>
      <w:sz w:val="16"/>
      <w:szCs w:val="16"/>
      <w:lang w:eastAsia="en-US"/>
    </w:rPr>
  </w:style>
  <w:style w:type="character" w:styleId="Strong">
    <w:name w:val="Strong"/>
    <w:basedOn w:val="DefaultParagraphFont"/>
    <w:uiPriority w:val="22"/>
    <w:qFormat/>
    <w:rsid w:val="00A4289C"/>
    <w:rPr>
      <w:b/>
      <w:bCs/>
    </w:rPr>
  </w:style>
  <w:style w:type="table" w:customStyle="1" w:styleId="LightShading1">
    <w:name w:val="Light Shading1"/>
    <w:basedOn w:val="TableNormal"/>
    <w:uiPriority w:val="60"/>
    <w:rsid w:val="00CB5618"/>
    <w:pPr>
      <w:spacing w:after="0" w:line="240" w:lineRule="auto"/>
    </w:pPr>
    <w:rPr>
      <w:rFonts w:ascii="Calibri" w:eastAsia="Calibri" w:hAnsi="Calibri" w:cs="Times New Roman"/>
      <w:color w:val="000000" w:themeColor="text1" w:themeShade="BF"/>
      <w:sz w:val="20"/>
      <w:szCs w:val="20"/>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6050A6"/>
    <w:rPr>
      <w:i/>
      <w:iCs/>
    </w:rPr>
  </w:style>
  <w:style w:type="paragraph" w:customStyle="1" w:styleId="OpenAcces">
    <w:name w:val="Open Acces"/>
    <w:basedOn w:val="Normal"/>
    <w:link w:val="OpenAccesChar"/>
    <w:qFormat/>
    <w:rsid w:val="004D06AE"/>
    <w:pPr>
      <w:spacing w:after="0" w:line="240" w:lineRule="auto"/>
    </w:pPr>
    <w:rPr>
      <w:rFonts w:ascii="Arial" w:eastAsia="Calibri" w:hAnsi="Arial" w:cs="Arial"/>
      <w:color w:val="000000"/>
      <w:sz w:val="15"/>
      <w:szCs w:val="16"/>
      <w:lang w:val="en-US"/>
    </w:rPr>
  </w:style>
  <w:style w:type="character" w:customStyle="1" w:styleId="OpenAccesChar">
    <w:name w:val="Open Acces Char"/>
    <w:link w:val="OpenAcces"/>
    <w:rsid w:val="004D06AE"/>
    <w:rPr>
      <w:rFonts w:ascii="Arial" w:eastAsia="Calibri" w:hAnsi="Arial" w:cs="Arial"/>
      <w:color w:val="000000"/>
      <w:sz w:val="15"/>
      <w:szCs w:val="16"/>
      <w:lang w:val="en-US" w:eastAsia="en-US"/>
    </w:rPr>
  </w:style>
  <w:style w:type="character" w:customStyle="1" w:styleId="ListParagraphChar">
    <w:name w:val="List Paragraph Char"/>
    <w:aliases w:val="Body of text Char,List Paragraph1 Char"/>
    <w:basedOn w:val="DefaultParagraphFont"/>
    <w:link w:val="ListParagraph"/>
    <w:uiPriority w:val="34"/>
    <w:locked/>
    <w:rsid w:val="00D16D39"/>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24036/02017617386-0-0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bk.ppj.unp.ac.id/index.php/ijacss/inde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205459\Dropbox\Rian&amp;If\JURNAL%20KONSELOR\2016\template_artikel_juni_2013.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34"/>
  <c:chart>
    <c:title>
      <c:tx>
        <c:rich>
          <a:bodyPr/>
          <a:lstStyle/>
          <a:p>
            <a:pPr>
              <a:defRPr/>
            </a:pPr>
            <a:r>
              <a:rPr lang="id-ID" sz="1000" b="0">
                <a:latin typeface="Calisto MT" pitchFamily="18" charset="0"/>
              </a:rPr>
              <a:t>Kategori</a:t>
            </a:r>
          </a:p>
        </c:rich>
      </c:tx>
      <c:layout>
        <c:manualLayout>
          <c:xMode val="edge"/>
          <c:yMode val="edge"/>
          <c:x val="0.42469444444444437"/>
          <c:y val="0.90060932256885784"/>
        </c:manualLayout>
      </c:layout>
    </c:title>
    <c:view3D>
      <c:rAngAx val="1"/>
    </c:view3D>
    <c:plotArea>
      <c:layout>
        <c:manualLayout>
          <c:layoutTarget val="inner"/>
          <c:xMode val="edge"/>
          <c:yMode val="edge"/>
          <c:x val="0.12379396325459333"/>
          <c:y val="3.7141433270208316E-2"/>
          <c:w val="0.83827690288713907"/>
          <c:h val="0.72454267583640652"/>
        </c:manualLayout>
      </c:layout>
      <c:bar3DChart>
        <c:barDir val="col"/>
        <c:grouping val="stacked"/>
        <c:ser>
          <c:idx val="0"/>
          <c:order val="0"/>
          <c:tx>
            <c:strRef>
              <c:f>Sheet1!$C$7</c:f>
              <c:strCache>
                <c:ptCount val="1"/>
                <c:pt idx="0">
                  <c:v>Distribusi (%)</c:v>
                </c:pt>
              </c:strCache>
            </c:strRef>
          </c:tx>
          <c:cat>
            <c:strRef>
              <c:f>Sheet1!$B$8:$B$10</c:f>
              <c:strCache>
                <c:ptCount val="3"/>
                <c:pt idx="0">
                  <c:v>Baik</c:v>
                </c:pt>
                <c:pt idx="1">
                  <c:v>Cukup</c:v>
                </c:pt>
                <c:pt idx="2">
                  <c:v>Kurang</c:v>
                </c:pt>
              </c:strCache>
            </c:strRef>
          </c:cat>
          <c:val>
            <c:numRef>
              <c:f>Sheet1!$C$8:$C$10</c:f>
              <c:numCache>
                <c:formatCode>0%</c:formatCode>
                <c:ptCount val="3"/>
                <c:pt idx="0">
                  <c:v>0.27</c:v>
                </c:pt>
                <c:pt idx="1">
                  <c:v>0.71000000000000063</c:v>
                </c:pt>
                <c:pt idx="2">
                  <c:v>2.0000000000000011E-2</c:v>
                </c:pt>
              </c:numCache>
            </c:numRef>
          </c:val>
        </c:ser>
        <c:shape val="box"/>
        <c:axId val="117674368"/>
        <c:axId val="119203328"/>
        <c:axId val="0"/>
      </c:bar3DChart>
      <c:catAx>
        <c:axId val="117674368"/>
        <c:scaling>
          <c:orientation val="minMax"/>
        </c:scaling>
        <c:axPos val="b"/>
        <c:tickLblPos val="nextTo"/>
        <c:txPr>
          <a:bodyPr/>
          <a:lstStyle/>
          <a:p>
            <a:pPr>
              <a:defRPr>
                <a:latin typeface="Calisto MT" pitchFamily="18" charset="0"/>
              </a:defRPr>
            </a:pPr>
            <a:endParaRPr lang="id-ID"/>
          </a:p>
        </c:txPr>
        <c:crossAx val="119203328"/>
        <c:crosses val="autoZero"/>
        <c:auto val="1"/>
        <c:lblAlgn val="ctr"/>
        <c:lblOffset val="100"/>
      </c:catAx>
      <c:valAx>
        <c:axId val="119203328"/>
        <c:scaling>
          <c:orientation val="minMax"/>
        </c:scaling>
        <c:axPos val="l"/>
        <c:majorGridlines/>
        <c:numFmt formatCode="0%" sourceLinked="1"/>
        <c:tickLblPos val="nextTo"/>
        <c:txPr>
          <a:bodyPr/>
          <a:lstStyle/>
          <a:p>
            <a:pPr>
              <a:defRPr>
                <a:latin typeface="Calisto MT" pitchFamily="18" charset="0"/>
              </a:defRPr>
            </a:pPr>
            <a:endParaRPr lang="id-ID"/>
          </a:p>
        </c:txPr>
        <c:crossAx val="117674368"/>
        <c:crosses val="autoZero"/>
        <c:crossBetween val="between"/>
      </c:valAx>
    </c:plotArea>
    <c:plotVisOnly val="1"/>
  </c:chart>
  <c:spPr>
    <a:gradFill flip="none" rotWithShape="1">
      <a:gsLst>
        <a:gs pos="27000">
          <a:srgbClr val="339966">
            <a:tint val="66000"/>
            <a:satMod val="160000"/>
            <a:alpha val="87000"/>
          </a:srgbClr>
        </a:gs>
        <a:gs pos="50000">
          <a:srgbClr val="339966">
            <a:tint val="44500"/>
            <a:satMod val="160000"/>
          </a:srgbClr>
        </a:gs>
        <a:gs pos="100000">
          <a:srgbClr val="339966">
            <a:tint val="23500"/>
            <a:satMod val="160000"/>
          </a:srgbClr>
        </a:gs>
      </a:gsLst>
      <a:lin ang="16200000" scaled="1"/>
      <a:tileRect/>
    </a:gradFill>
    <a:ln w="9525" cap="flat" cmpd="sng" algn="ctr">
      <a:solidFill>
        <a:schemeClr val="tx1"/>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5A8E8-675E-43BF-A122-481FBE53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template_artikel_juni_2013</Template>
  <TotalTime>20</TotalTime>
  <Pages>7</Pages>
  <Words>5432</Words>
  <Characters>30968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5459</dc:creator>
  <cp:lastModifiedBy>acer</cp:lastModifiedBy>
  <cp:revision>7</cp:revision>
  <cp:lastPrinted>2017-06-11T08:59:00Z</cp:lastPrinted>
  <dcterms:created xsi:type="dcterms:W3CDTF">2019-09-11T00:06:00Z</dcterms:created>
  <dcterms:modified xsi:type="dcterms:W3CDTF">2019-09-11T00:40:00Z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http://www.zotero.org/styles/journal-of-physics-conference-series</vt:lpwstr>
  </property>
  <property fmtid="{D5CDD505-2E9C-101B-9397-08002B2CF9AE}" pid="17" name="Mendeley Recent Style Name 7_1">
    <vt:lpwstr>Journal of Physics: Conference Series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02870ca0-dcb0-375d-80fb-143babb13d49</vt:lpwstr>
  </property>
  <property fmtid="{D5CDD505-2E9C-101B-9397-08002B2CF9AE}" pid="24" name="Mendeley Citation Style_1">
    <vt:lpwstr>http://www.zotero.org/styles/apa</vt:lpwstr>
  </property>
</Properties>
</file>