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EB" w:rsidRPr="00947365" w:rsidRDefault="00114AEB" w:rsidP="00A60A60">
      <w:pPr>
        <w:autoSpaceDE w:val="0"/>
        <w:autoSpaceDN w:val="0"/>
        <w:adjustRightInd w:val="0"/>
        <w:spacing w:after="0" w:line="240" w:lineRule="auto"/>
        <w:ind w:right="521"/>
        <w:rPr>
          <w:rFonts w:ascii="Palatino Linotype" w:hAnsi="Palatino Linotype" w:cs="Times New Roman"/>
          <w:b/>
          <w:color w:val="000000" w:themeColor="text1"/>
          <w:sz w:val="28"/>
          <w:szCs w:val="30"/>
          <w:lang w:val="en-US"/>
        </w:rPr>
      </w:pPr>
    </w:p>
    <w:p w:rsidR="00AA3D23" w:rsidRPr="00AA3D23" w:rsidRDefault="00AA3D23" w:rsidP="00AA3D23">
      <w:pPr>
        <w:autoSpaceDE w:val="0"/>
        <w:autoSpaceDN w:val="0"/>
        <w:adjustRightInd w:val="0"/>
        <w:spacing w:after="0" w:line="240" w:lineRule="auto"/>
        <w:ind w:right="521"/>
        <w:rPr>
          <w:rFonts w:ascii="Palatino Linotype" w:hAnsi="Palatino Linotype"/>
          <w:b/>
          <w:sz w:val="32"/>
          <w:szCs w:val="32"/>
          <w:lang w:val="en-US"/>
        </w:rPr>
      </w:pPr>
      <w:r w:rsidRPr="00AA3D23">
        <w:rPr>
          <w:rFonts w:ascii="Palatino Linotype" w:hAnsi="Palatino Linotype"/>
          <w:b/>
          <w:sz w:val="32"/>
          <w:szCs w:val="32"/>
        </w:rPr>
        <w:t>Self Disclosure of Minangkabau and Batak Cultures</w:t>
      </w:r>
    </w:p>
    <w:p w:rsidR="00CB5618" w:rsidRPr="00947365" w:rsidRDefault="00CB5618" w:rsidP="00CB5618">
      <w:pPr>
        <w:autoSpaceDE w:val="0"/>
        <w:autoSpaceDN w:val="0"/>
        <w:adjustRightInd w:val="0"/>
        <w:spacing w:after="0" w:line="240" w:lineRule="auto"/>
        <w:rPr>
          <w:rFonts w:ascii="Palatino Linotype" w:hAnsi="Palatino Linotype" w:cs="Times New Roman"/>
          <w:color w:val="000000" w:themeColor="text1"/>
          <w:szCs w:val="24"/>
        </w:rPr>
      </w:pPr>
    </w:p>
    <w:p w:rsidR="00CB5618" w:rsidRPr="00A54EE8" w:rsidRDefault="00A54EE8" w:rsidP="00CB5618">
      <w:pPr>
        <w:autoSpaceDE w:val="0"/>
        <w:autoSpaceDN w:val="0"/>
        <w:adjustRightInd w:val="0"/>
        <w:spacing w:after="0" w:line="240" w:lineRule="auto"/>
        <w:rPr>
          <w:rFonts w:ascii="Palatino Linotype" w:hAnsi="Palatino Linotype" w:cs="Times New Roman"/>
          <w:b/>
          <w:color w:val="000000" w:themeColor="text1"/>
          <w:szCs w:val="24"/>
          <w:vertAlign w:val="superscript"/>
          <w:lang w:val="en-US"/>
        </w:rPr>
      </w:pPr>
      <w:r>
        <w:rPr>
          <w:rFonts w:ascii="Palatino Linotype" w:hAnsi="Palatino Linotype" w:cs="Times New Roman"/>
          <w:b/>
          <w:color w:val="000000" w:themeColor="text1"/>
          <w:sz w:val="26"/>
          <w:szCs w:val="24"/>
        </w:rPr>
        <w:t>Tati Ayuni</w:t>
      </w:r>
      <w:r>
        <w:rPr>
          <w:rFonts w:ascii="Palatino Linotype" w:hAnsi="Palatino Linotype" w:cs="Times New Roman"/>
          <w:b/>
          <w:color w:val="000000" w:themeColor="text1"/>
          <w:sz w:val="26"/>
          <w:szCs w:val="24"/>
          <w:vertAlign w:val="superscript"/>
        </w:rPr>
        <w:t>1</w:t>
      </w:r>
      <w:r>
        <w:rPr>
          <w:rFonts w:ascii="Palatino Linotype" w:hAnsi="Palatino Linotype" w:cs="Times New Roman"/>
          <w:b/>
          <w:color w:val="000000" w:themeColor="text1"/>
          <w:sz w:val="26"/>
          <w:szCs w:val="24"/>
        </w:rPr>
        <w:t>, Herman Nirwana</w:t>
      </w:r>
      <w:r>
        <w:rPr>
          <w:rFonts w:ascii="Palatino Linotype" w:hAnsi="Palatino Linotype" w:cs="Times New Roman"/>
          <w:b/>
          <w:color w:val="000000" w:themeColor="text1"/>
          <w:sz w:val="26"/>
          <w:szCs w:val="24"/>
          <w:vertAlign w:val="superscript"/>
        </w:rPr>
        <w:t>2</w:t>
      </w:r>
      <w:r w:rsidR="00AA3D23">
        <w:rPr>
          <w:rFonts w:ascii="Palatino Linotype" w:hAnsi="Palatino Linotype" w:cs="Times New Roman"/>
          <w:b/>
          <w:color w:val="000000" w:themeColor="text1"/>
          <w:sz w:val="26"/>
          <w:szCs w:val="24"/>
        </w:rPr>
        <w:t>, Netra Wati</w:t>
      </w:r>
      <w:r w:rsidR="001928DC">
        <w:rPr>
          <w:rFonts w:ascii="Palatino Linotype" w:hAnsi="Palatino Linotype" w:cs="Times New Roman"/>
          <w:b/>
          <w:color w:val="000000" w:themeColor="text1"/>
          <w:sz w:val="26"/>
          <w:szCs w:val="24"/>
          <w:vertAlign w:val="superscript"/>
        </w:rPr>
        <w:t>3</w:t>
      </w:r>
    </w:p>
    <w:p w:rsidR="00CB5618" w:rsidRPr="00661691" w:rsidRDefault="00CB5618" w:rsidP="00CB5618">
      <w:pPr>
        <w:autoSpaceDE w:val="0"/>
        <w:autoSpaceDN w:val="0"/>
        <w:adjustRightInd w:val="0"/>
        <w:spacing w:after="0" w:line="240" w:lineRule="auto"/>
        <w:rPr>
          <w:rFonts w:ascii="Palatino Linotype" w:hAnsi="Palatino Linotype" w:cs="Times New Roman"/>
          <w:color w:val="000000" w:themeColor="text1"/>
          <w:szCs w:val="20"/>
        </w:rPr>
      </w:pPr>
      <w:r w:rsidRPr="00947365">
        <w:rPr>
          <w:rFonts w:ascii="Palatino Linotype" w:hAnsi="Palatino Linotype" w:cs="Times New Roman"/>
          <w:color w:val="000000" w:themeColor="text1"/>
          <w:szCs w:val="20"/>
          <w:vertAlign w:val="superscript"/>
          <w:lang w:val="en-US"/>
        </w:rPr>
        <w:t>123</w:t>
      </w:r>
      <w:r w:rsidR="00661691">
        <w:rPr>
          <w:rFonts w:ascii="Palatino Linotype" w:hAnsi="Palatino Linotype" w:cs="Times New Roman"/>
          <w:color w:val="000000" w:themeColor="text1"/>
          <w:szCs w:val="20"/>
        </w:rPr>
        <w:t xml:space="preserve"> Padang State University</w:t>
      </w:r>
    </w:p>
    <w:p w:rsidR="00CB5618" w:rsidRPr="00947365" w:rsidRDefault="00CB5618" w:rsidP="00CB5618">
      <w:pPr>
        <w:autoSpaceDE w:val="0"/>
        <w:autoSpaceDN w:val="0"/>
        <w:adjustRightInd w:val="0"/>
        <w:spacing w:after="0" w:line="240" w:lineRule="auto"/>
        <w:rPr>
          <w:rFonts w:ascii="Palatino Linotype" w:hAnsi="Palatino Linotype" w:cs="Times New Roman"/>
          <w:color w:val="000000" w:themeColor="text1"/>
          <w:sz w:val="18"/>
          <w:szCs w:val="20"/>
          <w:lang w:val="en-US"/>
        </w:rPr>
      </w:pPr>
      <w:r w:rsidRPr="00947365">
        <w:rPr>
          <w:rFonts w:ascii="Palatino Linotype" w:hAnsi="Palatino Linotype" w:cs="Times New Roman"/>
          <w:color w:val="000000" w:themeColor="text1"/>
          <w:szCs w:val="20"/>
          <w:lang w:val="en-US"/>
        </w:rPr>
        <w:t xml:space="preserve">* Tati Ayuni, e-mail: </w:t>
      </w:r>
      <w:r w:rsidR="001778EA" w:rsidRPr="001778EA">
        <w:rPr>
          <w:rFonts w:ascii="Palatino Linotype" w:hAnsi="Palatino Linotype" w:cs="Times New Roman"/>
          <w:color w:val="000000" w:themeColor="text1"/>
          <w:szCs w:val="20"/>
          <w:lang w:val="en-US"/>
        </w:rPr>
        <w:t>syahtrista04@gmail.com</w:t>
      </w:r>
    </w:p>
    <w:p w:rsidR="00CB5618" w:rsidRPr="00947365" w:rsidRDefault="00CB5618" w:rsidP="00CB5618">
      <w:pPr>
        <w:pStyle w:val="ListParagraph"/>
        <w:spacing w:after="0" w:line="240" w:lineRule="auto"/>
        <w:ind w:right="805"/>
        <w:contextualSpacing w:val="0"/>
        <w:jc w:val="both"/>
        <w:rPr>
          <w:rFonts w:ascii="Palatino Linotype" w:hAnsi="Palatino Linotype" w:cs="Times New Roman"/>
          <w:szCs w:val="20"/>
        </w:rPr>
      </w:pPr>
      <w:r w:rsidRPr="00947365">
        <w:rPr>
          <w:rFonts w:ascii="Palatino Linotype" w:hAnsi="Palatino Linotype" w:cs="Times New Roman"/>
          <w:b/>
          <w:szCs w:val="20"/>
        </w:rPr>
        <w:t>Abstract</w:t>
      </w:r>
    </w:p>
    <w:p w:rsidR="00402807" w:rsidRDefault="0084048C" w:rsidP="00402807">
      <w:pPr>
        <w:ind w:left="709"/>
        <w:jc w:val="both"/>
        <w:rPr>
          <w:rFonts w:ascii="Palatino Linotype" w:hAnsi="Palatino Linotype"/>
        </w:rPr>
      </w:pPr>
      <w:r w:rsidRPr="0084048C">
        <w:rPr>
          <w:rFonts w:ascii="Palatino Linotype" w:hAnsi="Palatino Linotype"/>
        </w:rPr>
        <w:t>The expression is derived from the Minangkabau and Batak Toba cultures. This study aims to describe the self-disclosure of high school students in terms of Minangkabau and Batak Toba culture. The sample used in this study were 363 high school students consisting of 179 students with a Minangkabau cultural background and 184 students with a Toba Batak culture background. This research uses Proportional Random Sampling technique. The instrument used in this study was a system item self-questionnaire with a reliability of 0.91029. The data analysis used in this research is</w:t>
      </w:r>
      <w:r w:rsidR="004D56FD">
        <w:rPr>
          <w:rFonts w:ascii="Times New Roman" w:eastAsia="Times New Roman" w:hAnsi="Times New Roman" w:cs="Times New Roman"/>
          <w:sz w:val="24"/>
          <w:szCs w:val="24"/>
        </w:rPr>
        <w:t>ANOVA (Analysis Of Variants)</w:t>
      </w:r>
      <w:r w:rsidR="00ED076D">
        <w:rPr>
          <w:rFonts w:ascii="Palatino Linotype" w:hAnsi="Palatino Linotype"/>
        </w:rPr>
        <w:t xml:space="preserve">. </w:t>
      </w:r>
      <w:r w:rsidR="00402807" w:rsidRPr="00402807">
        <w:rPr>
          <w:rFonts w:ascii="Palatino Linotype" w:eastAsia="Times New Roman" w:hAnsi="Palatino Linotype" w:cs="Times New Roman"/>
          <w:color w:val="000000"/>
        </w:rPr>
        <w:t>there is no difference in the self-disclosure of students with Minangkabau cultural backgrounds between men and women. There is no difference in the self-disclosure of students with Batak cultural backgrounds between boys and girls.</w:t>
      </w:r>
      <w:r w:rsidR="00402807" w:rsidRPr="00402807">
        <w:rPr>
          <w:rFonts w:ascii="Palatino Linotype" w:hAnsi="Palatino Linotype"/>
        </w:rPr>
        <w:t>There are differences in the self-disclosure of students with Minangkabau and Batak cultural backgrounds in terms of male gender. There are differences in students' self-disclosure with Minangkabau and Batak cultural backgrounds which are reviewed b</w:t>
      </w:r>
      <w:r w:rsidR="00402807">
        <w:rPr>
          <w:rFonts w:ascii="Palatino Linotype" w:hAnsi="Palatino Linotype"/>
        </w:rPr>
        <w:t>ased on the gender of the women.</w:t>
      </w:r>
    </w:p>
    <w:p w:rsidR="00CB5618" w:rsidRPr="00402807" w:rsidRDefault="00CB5618" w:rsidP="00402807">
      <w:pPr>
        <w:ind w:left="709"/>
        <w:jc w:val="both"/>
        <w:rPr>
          <w:rFonts w:ascii="Palatino Linotype" w:hAnsi="Palatino Linotype"/>
        </w:rPr>
      </w:pPr>
      <w:r w:rsidRPr="00402807">
        <w:rPr>
          <w:rFonts w:ascii="Palatino Linotype" w:hAnsi="Palatino Linotype" w:cs="Times New Roman"/>
          <w:b/>
          <w:szCs w:val="20"/>
          <w:lang w:val="en-US"/>
        </w:rPr>
        <w:t>Keywords</w:t>
      </w:r>
      <w:r w:rsidRPr="00402807">
        <w:rPr>
          <w:rFonts w:ascii="Palatino Linotype" w:hAnsi="Palatino Linotype" w:cs="Times New Roman"/>
          <w:szCs w:val="20"/>
        </w:rPr>
        <w:t>:</w:t>
      </w:r>
      <w:r w:rsidR="0071466C" w:rsidRPr="00402807">
        <w:rPr>
          <w:rFonts w:ascii="Times New Roman" w:hAnsi="Times New Roman"/>
          <w:bCs/>
          <w:sz w:val="20"/>
          <w:szCs w:val="20"/>
        </w:rPr>
        <w:t xml:space="preserve"> </w:t>
      </w:r>
      <w:r w:rsidR="0071466C" w:rsidRPr="00402807">
        <w:rPr>
          <w:rFonts w:ascii="Palatino Linotype" w:hAnsi="Palatino Linotype"/>
          <w:bCs/>
        </w:rPr>
        <w:t>self disclosure, Minangkabau and Batak Toba culture</w:t>
      </w:r>
      <w:r w:rsidRPr="00402807">
        <w:rPr>
          <w:rFonts w:ascii="Palatino Linotype" w:hAnsi="Palatino Linotype" w:cs="Times New Roman"/>
          <w:color w:val="000000" w:themeColor="text1"/>
        </w:rPr>
        <w:t>.</w:t>
      </w:r>
    </w:p>
    <w:p w:rsidR="00CB5618" w:rsidRPr="0071466C" w:rsidRDefault="00CB5618" w:rsidP="00CB5618">
      <w:pPr>
        <w:spacing w:after="0" w:line="240" w:lineRule="auto"/>
        <w:rPr>
          <w:rFonts w:ascii="Palatino Linotype" w:hAnsi="Palatino Linotype" w:cs="Times New Roman"/>
          <w:color w:val="000000" w:themeColor="text1"/>
          <w:lang w:val="en-US"/>
        </w:rPr>
      </w:pPr>
    </w:p>
    <w:p w:rsidR="006E1D40" w:rsidRPr="00947365" w:rsidRDefault="006E1D40" w:rsidP="007A6480">
      <w:pPr>
        <w:pStyle w:val="ListParagraph"/>
        <w:spacing w:after="0" w:line="240" w:lineRule="auto"/>
        <w:ind w:left="709" w:right="-2"/>
        <w:contextualSpacing w:val="0"/>
        <w:jc w:val="both"/>
        <w:rPr>
          <w:rFonts w:ascii="Palatino Linotype" w:hAnsi="Palatino Linotype" w:cs="Times New Roman"/>
          <w:b/>
          <w:szCs w:val="20"/>
          <w:lang w:val="en-US"/>
        </w:rPr>
      </w:pPr>
      <w:r w:rsidRPr="00947365">
        <w:rPr>
          <w:rFonts w:ascii="Palatino Linotype" w:hAnsi="Palatino Linotype" w:cs="Times New Roman"/>
          <w:b/>
          <w:szCs w:val="20"/>
          <w:lang w:val="en-US"/>
        </w:rPr>
        <w:t xml:space="preserve">How to Cite: </w:t>
      </w:r>
      <w:r w:rsidRPr="00947365">
        <w:rPr>
          <w:rFonts w:ascii="Palatino Linotype" w:hAnsi="Palatino Linotype" w:cs="Times New Roman"/>
          <w:szCs w:val="20"/>
        </w:rPr>
        <w:t>Author 1, Author 2. Year. Manuscript title. Counselor, VV (N): pp. XX-XX,</w:t>
      </w:r>
      <w:r w:rsidR="00712F37" w:rsidRPr="00947365">
        <w:rPr>
          <w:rFonts w:ascii="Palatino Linotype" w:hAnsi="Palatino Linotype"/>
          <w:sz w:val="24"/>
          <w:lang w:val="en-US"/>
        </w:rPr>
        <w:t>DOI:</w:t>
      </w:r>
      <w:hyperlink r:id="rId8" w:history="1">
        <w:r w:rsidR="00712F37" w:rsidRPr="00947365">
          <w:rPr>
            <w:rFonts w:ascii="Palatino Linotype" w:hAnsi="Palatino Linotype" w:cs="Times New Roman"/>
            <w:szCs w:val="20"/>
          </w:rPr>
          <w:t>10.24036 / XXXXXXXXXX-X-XX</w:t>
        </w:r>
      </w:hyperlink>
    </w:p>
    <w:p w:rsidR="00CB5618" w:rsidRPr="00947365" w:rsidRDefault="00CB5618" w:rsidP="007A6480">
      <w:pPr>
        <w:spacing w:after="0" w:line="240" w:lineRule="auto"/>
        <w:ind w:right="522"/>
        <w:jc w:val="both"/>
        <w:rPr>
          <w:rFonts w:ascii="Palatino Linotype" w:hAnsi="Palatino Linotype" w:cs="Times New Roman"/>
          <w:szCs w:val="20"/>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016"/>
      </w:tblGrid>
      <w:tr w:rsidR="00CB5618" w:rsidRPr="00947365" w:rsidTr="008B29AB">
        <w:tc>
          <w:tcPr>
            <w:tcW w:w="9016" w:type="dxa"/>
            <w:tcBorders>
              <w:top w:val="single" w:sz="4" w:space="0" w:color="auto"/>
              <w:left w:val="nil"/>
              <w:bottom w:val="single" w:sz="6" w:space="0" w:color="auto"/>
              <w:right w:val="nil"/>
            </w:tcBorders>
          </w:tcPr>
          <w:p w:rsidR="00CB5618" w:rsidRPr="00947365" w:rsidRDefault="004D06AE" w:rsidP="007B2E37">
            <w:pPr>
              <w:pStyle w:val="OpenAcces"/>
              <w:spacing w:before="80" w:after="80"/>
              <w:ind w:left="992"/>
              <w:rPr>
                <w:rFonts w:ascii="Palatino Linotype" w:hAnsi="Palatino Linotype"/>
                <w:szCs w:val="13"/>
              </w:rPr>
            </w:pPr>
            <w:r w:rsidRPr="007B2E37">
              <w:rPr>
                <w:rFonts w:ascii="Palatino Linotype" w:hAnsi="Palatino Linotype"/>
                <w:noProof/>
                <w:sz w:val="13"/>
                <w:szCs w:val="13"/>
                <w:lang w:val="id-ID" w:eastAsia="id-ID"/>
              </w:rPr>
              <w:drawing>
                <wp:anchor distT="0" distB="0" distL="71755" distR="71755" simplePos="0" relativeHeight="251660288" behindDoc="1" locked="0" layoutInCell="1" allowOverlap="1">
                  <wp:simplePos x="0" y="0"/>
                  <wp:positionH relativeFrom="column">
                    <wp:posOffset>-17780</wp:posOffset>
                  </wp:positionH>
                  <wp:positionV relativeFrom="paragraph">
                    <wp:posOffset>41275</wp:posOffset>
                  </wp:positionV>
                  <wp:extent cx="606425" cy="241300"/>
                  <wp:effectExtent l="19050" t="0" r="3175" b="0"/>
                  <wp:wrapTight wrapText="bothSides">
                    <wp:wrapPolygon edited="0">
                      <wp:start x="-679" y="0"/>
                      <wp:lineTo x="-679" y="20463"/>
                      <wp:lineTo x="21713" y="20463"/>
                      <wp:lineTo x="21713" y="0"/>
                      <wp:lineTo x="-679"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06425" cy="241300"/>
                          </a:xfrm>
                          <a:prstGeom prst="rect">
                            <a:avLst/>
                          </a:prstGeom>
                          <a:noFill/>
                          <a:ln w="9525">
                            <a:noFill/>
                            <a:miter lim="800000"/>
                            <a:headEnd/>
                            <a:tailEnd/>
                          </a:ln>
                        </pic:spPr>
                      </pic:pic>
                    </a:graphicData>
                  </a:graphic>
                </wp:anchor>
              </w:drawing>
            </w:r>
            <w:r w:rsidRPr="007B2E37">
              <w:rPr>
                <w:rStyle w:val="OpenAccesChar"/>
                <w:rFonts w:ascii="Palatino Linotype" w:hAnsi="Palatino Linotype"/>
                <w:sz w:val="13"/>
                <w:szCs w:val="13"/>
              </w:rPr>
              <w:t>This is an open access article distributed under the Creative Commons 4.0 Attribution License, which permits unrestricted use, distribution, and reproduction in any medium, provided the original work is properly cited</w:t>
            </w:r>
            <w:r w:rsidRPr="007B2E37">
              <w:rPr>
                <w:rFonts w:ascii="Palatino Linotype" w:hAnsi="Palatino Linotype"/>
                <w:iCs/>
                <w:sz w:val="13"/>
                <w:szCs w:val="13"/>
              </w:rPr>
              <w:t>.</w:t>
            </w:r>
            <w:r w:rsidRPr="007B2E37">
              <w:rPr>
                <w:rFonts w:ascii="Palatino Linotype" w:hAnsi="Palatino Linotype"/>
                <w:sz w:val="13"/>
                <w:szCs w:val="13"/>
              </w:rPr>
              <w:t xml:space="preserve"> © 2019 by Author</w:t>
            </w:r>
          </w:p>
        </w:tc>
      </w:tr>
    </w:tbl>
    <w:p w:rsidR="00CB5618" w:rsidRPr="00947365" w:rsidRDefault="00CB5618" w:rsidP="009557ED">
      <w:pPr>
        <w:spacing w:after="0" w:line="240" w:lineRule="auto"/>
        <w:jc w:val="both"/>
        <w:rPr>
          <w:rFonts w:ascii="Palatino Linotype" w:hAnsi="Palatino Linotype" w:cs="Times New Roman"/>
          <w:b/>
          <w:szCs w:val="20"/>
        </w:rPr>
      </w:pPr>
    </w:p>
    <w:p w:rsidR="00CB162E" w:rsidRPr="00CB162E" w:rsidRDefault="0088703B" w:rsidP="00CB162E">
      <w:pPr>
        <w:spacing w:after="120" w:line="240" w:lineRule="auto"/>
        <w:jc w:val="both"/>
        <w:rPr>
          <w:rFonts w:ascii="Palatino Linotype" w:hAnsi="Palatino Linotype" w:cs="Times New Roman"/>
          <w:b/>
        </w:rPr>
      </w:pPr>
      <w:r w:rsidRPr="00947365">
        <w:rPr>
          <w:rFonts w:ascii="Palatino Linotype" w:hAnsi="Palatino Linotype" w:cs="Times New Roman"/>
          <w:b/>
          <w:sz w:val="26"/>
          <w:szCs w:val="24"/>
          <w:lang w:val="en-US"/>
        </w:rPr>
        <w:t>Introduction</w:t>
      </w:r>
    </w:p>
    <w:p w:rsidR="00CB162E" w:rsidRPr="00CB162E" w:rsidRDefault="00CB162E" w:rsidP="00911102">
      <w:pPr>
        <w:pStyle w:val="ListParagraph"/>
        <w:spacing w:line="240" w:lineRule="auto"/>
        <w:ind w:left="0" w:firstLine="425"/>
        <w:jc w:val="both"/>
        <w:rPr>
          <w:rFonts w:ascii="Palatino Linotype" w:hAnsi="Palatino Linotype"/>
        </w:rPr>
      </w:pPr>
      <w:r w:rsidRPr="00CB162E">
        <w:rPr>
          <w:rFonts w:ascii="Palatino Linotype" w:hAnsi="Palatino Linotype"/>
        </w:rPr>
        <w:t xml:space="preserve">Adolescence is in the age range 11-21 years </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"author" : [ { "dropping-particle" : "", "family" : "Monks", "given" : "F. J.", "non-dropping-particle" : "", "parse-names" : false, "suffix" : "" } ], "id" : "ITEM-1", "issued" : { "date-parts" : [ [ "2006" ] ] }, "publisher" : "Gajah Mada University Press", "publisher-place" : "Yogyakarta", "title" : "Psikologi Perkembangan: Pengantar dalam Berbagai Bagian", "type" : "book" }, "uris" : [ "http://www.mendeley.com/documents/?uuid=1cac47cb-8fe3-4c64-aa28-453f1b795c09" ] } ], "mendeley" : { "formattedCitation" : "(Monks, 2006)", "plainTextFormattedCitation" : "(Monks, 2006)", "previouslyFormattedCitation" : "(Monks, 2006)"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(Monks, 2006)</w:t>
      </w:r>
      <w:r w:rsidR="00114C44" w:rsidRPr="00CB162E">
        <w:rPr>
          <w:rFonts w:ascii="Palatino Linotype" w:hAnsi="Palatino Linotype"/>
        </w:rPr>
        <w:fldChar w:fldCharType="end"/>
      </w:r>
      <w:r w:rsidRPr="00CB162E">
        <w:rPr>
          <w:rFonts w:ascii="Palatino Linotype" w:hAnsi="Palatino Linotype"/>
        </w:rPr>
        <w:t>. High school students (SMA) are teenagers. In their development as teenagers, students are in times of storm and stress</w:t>
      </w:r>
      <w:r w:rsidR="00114C44" w:rsidRPr="00CB162E">
        <w:rPr>
          <w:rFonts w:ascii="Palatino Linotype" w:hAnsi="Palatino Linotype"/>
          <w:i/>
        </w:rPr>
        <w:fldChar w:fldCharType="begin" w:fldLock="1"/>
      </w:r>
      <w:r w:rsidRPr="00CB162E">
        <w:rPr>
          <w:rFonts w:ascii="Palatino Linotype" w:hAnsi="Palatino Linotype"/>
          <w:i/>
        </w:rPr>
        <w:instrText>ADDIN CSL_CITATION { "citationItems" : [ { "id" : "ITEM-1", "itemData" : { "author" : [ { "dropping-particle" : "", "family" : "Santrock", "given" : "J. W.", "non-dropping-particle" : "", "parse-names" : false, "suffix" : "" } ], "id" : "ITEM-1", "issued" : { "date-parts" : [ [ "2007" ] ] }, "publisher" : "Erlangga", "publisher-place" : "Jakarta", "title" : "Remaja Jilid 2", "type" : "book" }, "uris" : [ "http://www.mendeley.com/documents/?uuid=43712cf2-b84b-4655-8553-66fb05ee4dc4" ] } ], "mendeley" : { "formattedCitation" : "(Santrock, 2007)", "plainTextFormattedCitation" : "(Santrock, 2007)", "previouslyFormattedCitation" : "(Santrock, 2007)" }, "properties" : {  }, "schema" : "https://github.com/citation-style-language/schema/raw/master/csl-citation.json" }</w:instrText>
      </w:r>
      <w:r w:rsidR="00114C44" w:rsidRPr="00CB162E">
        <w:rPr>
          <w:rFonts w:ascii="Palatino Linotype" w:hAnsi="Palatino Linotype"/>
          <w:i/>
        </w:rPr>
        <w:fldChar w:fldCharType="separate"/>
      </w:r>
      <w:r w:rsidRPr="00CB162E">
        <w:rPr>
          <w:rFonts w:ascii="Palatino Linotype" w:hAnsi="Palatino Linotype"/>
          <w:noProof/>
        </w:rPr>
        <w:t>(Santrock, 2007)</w:t>
      </w:r>
      <w:r w:rsidR="00114C44" w:rsidRPr="00CB162E">
        <w:rPr>
          <w:rFonts w:ascii="Palatino Linotype" w:hAnsi="Palatino Linotype"/>
          <w:i/>
        </w:rPr>
        <w:fldChar w:fldCharType="end"/>
      </w:r>
      <w:r w:rsidRPr="00CB162E">
        <w:rPr>
          <w:rFonts w:ascii="Palatino Linotype" w:hAnsi="Palatino Linotype"/>
        </w:rPr>
        <w:t>. At this time students began to face problems both from themselves and their environment which resulted in students experiencing stressful situations (stressful).</w:t>
      </w:r>
    </w:p>
    <w:p w:rsidR="00CB162E" w:rsidRPr="00CB162E" w:rsidRDefault="00CB162E" w:rsidP="00911102">
      <w:pPr>
        <w:pStyle w:val="ListParagraph"/>
        <w:spacing w:line="240" w:lineRule="auto"/>
        <w:ind w:left="0" w:firstLine="425"/>
        <w:jc w:val="both"/>
        <w:rPr>
          <w:rFonts w:ascii="Palatino Linotype" w:hAnsi="Palatino Linotype"/>
        </w:rPr>
      </w:pPr>
      <w:r w:rsidRPr="00CB162E">
        <w:rPr>
          <w:rFonts w:ascii="Palatino Linotype" w:hAnsi="Palatino Linotype"/>
        </w:rPr>
        <w:t>Stressful situations faced by students in everyday life, among others</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"URL" : "www.extension.umn.edu/youth/research/youth-issues/adolescents-stress-and-depression/", "author" : [ { "dropping-particle" : "", "family" : "Walker", "given" : "Joyce", "non-dropping-particle" : "", "parse-names" : false, "suffix" : "" } ], "container-title" : "Youth Development Research", "id" : "ITEM-1", "issued" : { "date-parts" : [ [ "2005" ] ] }, "title" : "Adolescent Stress and Depression", "type" : "webpage" }, "uris" : [ "http://www.mendeley.com/documents/?uuid=9d2c5d6f-3d99-4d83-9703-138279aca04c" ] }, { "id" : "ITEM-2", "itemData" : { "author" : [ { "dropping-particle" : "", "family" : "Aggarwal", "given" : "Shilpa", "non-dropping-particle" : "", "parse-names" : false, "suffix" : "" }, { "dropping-particle" : "", "family" : "Prabhu", "given" : "Col. H. R. A.", "non-dropping-particle" : "", "parse-names" : false, "suffix" : "" }, { "dropping-particle" : "", "family" : "Anand", "given" : "Lt. Col. Aalok", "non-dropping-particle" : "", "parse-names" : false, "suffix" : "" }, { "dropping-particle" : "", "family" : "Kotwal", "given" : "Lt. Col. Atul", "non-dropping-particle" : "", "parse-names" : false, "suffix" : "" } ], "container-title" : "Indian Journal of Psychiatry", "id" : "ITEM-2", "issue" : "2", "issued" : { "date-parts" : [ [ "2007" ] ] }, "page" : "96\u2013102", "title" : "Stressful Life Events Among Adolescents: The Development of a New Measure", "type" : "article-journal", "volume" : "49" }, "uris" : [ "http://www.mendeley.com/documents/?uuid=3a369845-bab7-4773-8ea1-22ac994d7719" ] } ], "mendeley" : { "formattedCitation" : "(Aggarwal, Prabhu, Anand, &amp; Kotwal, 2007; Walker, 2005)", "plainTextFormattedCitation" : "(Aggarwal, Prabhu, Anand, &amp; Kotwal, 2007; Walker, 2005)", "previouslyFormattedCitation" : "(Aggarwal, Prabhu, Anand, &amp; Kotwal, 2007; Walker, 2005)"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(Aggarwal, Prabhu, Anand, &amp; Kotwal, 2007; Walker, 2005)</w:t>
      </w:r>
      <w:r w:rsidR="00114C44" w:rsidRPr="00CB162E">
        <w:rPr>
          <w:rFonts w:ascii="Palatino Linotype" w:hAnsi="Palatino Linotype"/>
        </w:rPr>
        <w:fldChar w:fldCharType="end"/>
      </w:r>
      <w:r w:rsidRPr="00CB162E">
        <w:rPr>
          <w:rFonts w:ascii="Palatino Linotype" w:hAnsi="Palatino Linotype"/>
        </w:rPr>
        <w:t xml:space="preserve">: decreased health of family members, many assignments at school, low grades, serious arguments with close friends, not being ready to take exams, failing exams, divorce from parents, expulsion from school, death of close </w:t>
      </w:r>
      <w:r w:rsidRPr="00CB162E">
        <w:rPr>
          <w:rFonts w:ascii="Palatino Linotype" w:hAnsi="Palatino Linotype"/>
        </w:rPr>
        <w:lastRenderedPageBreak/>
        <w:t>friends, and death of family members. If stressful occurs continuously without a balance between mental endurance and the burden felt by students, then this will interfere with their development process as adolescents, such as experiencing depression and anxiety.</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"DOI" : "10.1007/s10802-012-9642-7", "ISBN" : "0091-0627", "ISSN" : "00910627", "PMID" : "22592931", "abstract" : "The association between stressful life events and depression has been consistently supported in the literature; however, studies of the developmental trajectories of these constructs and the nature of their association over time are limited. We examined trajectories of depressive symptoms and negative dependent life events and the associations between these constructs in a sample of 916 youth assessed annually from age 9 to 16, using latent growth curve modeling. Youth depressive symptoms, as rated by youth, parents, and teachers, decreased from late childhood into adolescence, whereas rates of youth-rated life events did not change significantly over time. Initial levels of depressive symptoms were positively associated with initial levels of life events. Furthermore, after controlling for the initial association between the two constructs, increases in depressive symptoms (as assessed by parents and youth) were positively associated with increases in life events over time. The study builds on prior research by focusing specifically on negative dependent life events, examining results across multiple informants, and employing latent growth curve modeling to evaluate associations between trajectories of life events and depressive symptoms in a longitudinal adolescent sample. Additional studies employing latent growth modeling to examine the changes in this association during adolescence are needed.", "author" : [ { "dropping-particle" : "", "family" : "Johnson", "given" : "Daniel P.", "non-dropping-particle" : "", "parse-names" : false, "suffix" : "" }, { "dropping-particle" : "", "family" : "Whisman", "given" : "Mark A.", "non-dropping-particle" : "", "parse-names" : false, "suffix" : "" }, { "dropping-particle" : "", "family" : "Corley", "given" : "Robin P.", "non-dropping-particle" : "", "parse-names" : false, "suffix" : "" }, { "dropping-particle" : "", "family" : "Hewitt", "given" : "John K.", "non-dropping-particle" : "", "parse-names" : false, "suffix" : "" }, { "dropping-particle" : "", "family" : "Rhee", "given" : "Soo Hyun", "non-dropping-particle" : "", "parse-names" : false, "suffix" : "" } ], "container-title" : "Journal of Abnormal Child Psychology", "id" : "ITEM-1", "issue" : "8", "issued" : { "date-parts" : [ [ "2012" ] ] }, "page" : "1385-1400", "title" : "Association Between Depressive Symptoms and Negative Dependent Life Events from Late Childhood to Adolescence", "type" : "article-journal", "volume" : "40" }, "uris" : [ "http://www.mendeley.com/documents/?uuid=5db2d4a2-e28d-46bc-a486-56c45bc1268d" ] }, { "id" : "ITEM-2", "itemData" : { "DOI" : "10.1007/s10802-011-9552-0", "ISBN" : "1080201195520", "ISSN" : "00910627", "PMID" : "21845380", "abstract" : "The tendency to appraise naturally occurring life events (LEs) as having high negative impact may be a predisposing factor for the development of depression and anxiety disorders. In the current study, appraisals of the negative impact of recent LEs were examined in relationship to depressive and anxiety disorders in a sample of 653 adolescents who were administered diagnostic and life stress interviews at ages 15 and 20. Participants' appraisals of the negative impact of LEs reported at age 15 were statistically adjusted using investigator-based ratings to control for objective differences across LEs. Higher appraisals of the negative impact of LEs were associated with both past and current depressive and anxiety disorders at age 15 and predicted subsequent first onsets of depressive and anxiety disorders occurring between ages 15 and 20. In addition, appraisals of the negative impact of LEs were particularly elevated among those experiencing both a depressive and anxiety disorder over the course of the study. The findings suggest that systematically elevated appraisals of the negative impact of LEs are a predisposing factor for depression and anxiety disorders and may represent a specific risk factor for co-morbid depression and anxiety in mid-adolescence and early adulthood.", "author" : [ { "dropping-particle" : "", "family" : "Espejo", "given" : "Emmanuel Peter", "non-dropping-particle" : "", "parse-names" : false, "suffix" : "" }, { "dropping-particle" : "", "family" : "Hammen", "given" : "Constance", "non-dropping-particle" : "", "parse-names" : false, "suffix" : "" }, { "dropping-particle" : "", "family" : "Brennan", "given" : "Patricia A.", "non-dropping-particle" : "", "parse-names" : false, "suffix" : "" } ], "container-title" : "Journal of Abnormal Child Psychology", "id" : "ITEM-2", "issue" : "2", "issued" : { "date-parts" : [ [ "2012" ] ] }, "page" : "303-315", "title" : "Elevated Appraisals of the Negative Impact of Naturally Occurring Life Events: A Risk Factor for Depressive and Anxiety Disorders", "type" : "article-journal", "volume" : "40" }, "uris" : [ "http://www.mendeley.com/documents/?uuid=ba648d1c-8888-4a89-bc13-3fa439f862ad" ] } ], "mendeley" : { "formattedCitation" : "(Espejo, Hammen, &amp; Brennan, 2012; Johnson, Whisman, Corley, Hewitt, &amp; Rhee, 2012)", "plainTextFormattedCitation" : "(Espejo, Hammen, &amp; Brennan, 2012; Johnson, Whisman, Corley, Hewitt, &amp; Rhee, 2012)", "previouslyFormattedCitation" : "(Espejo, Hammen, &amp; Brennan, 2012; Johnson, Whisman, Corley, Hewitt, &amp; Rhee, 2012)"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(Espejo, Hammen, &amp; Brennan, 2012; Johnson, Whisman, Corley, Hewitt, &amp; Rhee, 2012)</w:t>
      </w:r>
      <w:r w:rsidR="00114C44" w:rsidRPr="00CB162E">
        <w:rPr>
          <w:rFonts w:ascii="Palatino Linotype" w:hAnsi="Palatino Linotype"/>
        </w:rPr>
        <w:fldChar w:fldCharType="end"/>
      </w:r>
      <w:r w:rsidRPr="00CB162E">
        <w:rPr>
          <w:rFonts w:ascii="Palatino Linotype" w:hAnsi="Palatino Linotype"/>
        </w:rPr>
        <w:t>; anger, delinquency, and substance abuse</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"DOI" : "10.1080/19361521.2012.671795", "ISBN" : "19361521", "ISSN" : "19361521", "abstract" : "The present study provided a cross-sectional examination of associations among adverse life events, depressive symptoms, and delinquency in a community sample of 123 early adolescent boys and girls. We also examined whether depressive cognitions, including hopelessness, differentially mediated the relations between exposure to adverse events and delinquent behaviors. Depressive cognitions, especially lack of future orientation, were associated with delinquent behaviors and partially mediated the relationship between adverse events and delinquent behaviors. Findings highlight the importance of future orientation among adversity-exposed youth, and suggest that interventions for trauma should focus on instilling optimism and hope as a means of reducing risk for negative outcomes, including delinquency.", "author" : [ { "dropping-particle" : "", "family" : "Allwood", "given" : "Maureen A.", "non-dropping-particle" : "", "parse-names" : false, "suffix" : "" }, { "dropping-particle" : "", "family" : "Baetz", "given" : "Carly", "non-dropping-particle" : "", "parse-names" : false, "suffix" : "" }, { "dropping-particle" : "", "family" : "DeMarco", "given" : "Sarah", "non-dropping-particle" : "", "parse-names" : false, "suffix" : "" }, { "dropping-particle" : "", "family" : "Bell", "given" : "Debora J.", "non-dropping-particle" : "", "parse-names" : false, "suffix" : "" } ], "container-title" : "Journal of Child and Adolescent Trauma", "id" : "ITEM-1", "issue" : "2", "issued" : { "date-parts" : [ [ "2012" ] ] }, "page" : "114-128", "title" : "Depressive Symptoms, Including Lack of Future Orientation, as Mediators in the Relationship between Adverse Life Events and Delinquent Behaviors", "type" : "article-journal", "volume" : "5" }, "uris" : [ "http://www.mendeley.com/documents/?uuid=f4056bcc-9393-4fe1-8fd9-afd42d9181a6" ] }, { "id" : "ITEM-2", "itemData" : { "DOI" : "10.1007/s10880-006-9016-9", "ISBN" : "1068-9583", "ISSN" : "10689583", "abstract" : "Purpose: To examine the roles of cognitive social maturity and life change events in a structural equation model (SEM) to explain adolescents' use of marijuana, tobacco, and alcohol. Methods: Data were derived from 1322 9th and 10th graders in a HIV prevention study. Students completed a survey of their cognitive social maturity, recent life events and substance use habits. A model from a study on the metabolic control of adolescents with diabetes was modified to apply to health risk behaviors. Results: A SEM was tested and fit the data well. Lower cognitive social maturity and greater life change events significantly predicted health risk behaviors. Life events partially mediated the relationship between cognitive social maturity and health risk behaviors. Conclusions: Adolescents' social thought processes are related to their recent life events, which in turn are related to their substance use behaviors. Suggestions are made for interventions to improve adolescents' cognitive social maturity. Springer Science+Business Media, Inc. 2006.", "author" : [ { "dropping-particle" : "", "family" : "Ievers-Landis", "given" : "Carolyn E.", "non-dropping-particle" : "", "parse-names" : false, "suffix" : "" }, { "dropping-particle" : "", "family" : "Greenley", "given" : "Rachel Neff", "non-dropping-particle" : "", "parse-names" : false, "suffix" : "" }, { "dropping-particle" : "", "family" : "Burant", "given" : "Chris", "non-dropping-particle" : "", "parse-names" : false, "suffix" : "" }, { "dropping-particle" : "", "family" : "Borawski", "given" : "Elaine", "non-dropping-particle" : "", "parse-names" : false, "suffix" : "" } ], "container-title" : "Journal of Clinical Psychology in Medical Settings", "id" : "ITEM-2", "issue" : "2", "issued" : { "date-parts" : [ [ "2006" ] ] }, "page" : "107-116", "title" : "Cognitive Social Maturity, Life Change Events, and Health Risk Behaviors Among Adolescents: Development of a Structural Equation Model", "type" : "article-journal", "volume" : "13" }, "uris" : [ "http://www.mendeley.com/documents/?uuid=797f4892-9481-46ad-902a-47c9b64c22b1" ] } ], "mendeley" : { "formattedCitation" : "(Allwood, Baetz, DeMarco, &amp; Bell, 2012; Ievers-Landis, Greenley, Burant, &amp; Borawski, 2006)", "plainTextFormattedCitation" : "(Allwood, Baetz, DeMarco, &amp; Bell, 2012; Ievers-Landis, Greenley, Burant, &amp; Borawski, 2006)", "previouslyFormattedCitation" : "(Allwood, Baetz, DeMarco, &amp; Bell, 2012; Ievers-Landis, Greenley, Burant, &amp; Borawski, 2006)"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(Allwood, Baetz, DeMarco, &amp; Bell, 2012; Ievers-Landis, Greenley, Burant, &amp; Borawski, 2006)</w:t>
      </w:r>
      <w:r w:rsidR="00114C44" w:rsidRPr="00CB162E">
        <w:rPr>
          <w:rFonts w:ascii="Palatino Linotype" w:hAnsi="Palatino Linotype"/>
        </w:rPr>
        <w:fldChar w:fldCharType="end"/>
      </w:r>
      <w:r w:rsidRPr="00CB162E">
        <w:rPr>
          <w:rFonts w:ascii="Palatino Linotype" w:hAnsi="Palatino Linotype"/>
        </w:rPr>
        <w:t xml:space="preserve">, even at risk of suicide </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"author" : [ { "dropping-particle" : "", "family" : "Arun", "given" : "Priti", "non-dropping-particle" : "", "parse-names" : false, "suffix" : "" }, { "dropping-particle" : "", "family" : "Garg", "given" : "Rohit", "non-dropping-particle" : "", "parse-names" : false, "suffix" : "" }, { "dropping-particle" : "", "family" : "Chavan", "given" : "Bir Singh", "non-dropping-particle" : "", "parse-names" : false, "suffix" : "" } ], "container-title" : "Industrial Psychiatry Journal", "id" : "ITEM-1", "issue" : "1", "issued" : { "date-parts" : [ [ "2017" ] ] }, "page" : "64-70", "title" : "Stress and Suicidal Ideation Among Adolescents Having Academic Difficulty", "type" : "article-journal", "volume" : "26" }, "uris" : [ "http://www.mendeley.com/documents/?uuid=7e8ea009-cbe5-406f-8988-6fba92ae71f2" ] } ], "mendeley" : { "formattedCitation" : "(Arun, Garg, &amp; Chavan, 2017)", "plainTextFormattedCitation" : "(Arun, Garg, &amp; Chavan, 2017)", "previouslyFormattedCitation" : "(Arun, Garg, &amp; Chavan, 2017)"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(Arun, Garg, &amp; Chavan, 2017)</w:t>
      </w:r>
      <w:r w:rsidR="00114C44" w:rsidRPr="00CB162E">
        <w:rPr>
          <w:rFonts w:ascii="Palatino Linotype" w:hAnsi="Palatino Linotype"/>
        </w:rPr>
        <w:fldChar w:fldCharType="end"/>
      </w:r>
      <w:r w:rsidRPr="00CB162E">
        <w:rPr>
          <w:rFonts w:ascii="Palatino Linotype" w:hAnsi="Palatino Linotype"/>
        </w:rPr>
        <w:t>.</w:t>
      </w:r>
    </w:p>
    <w:p w:rsidR="00CB162E" w:rsidRPr="00CB162E" w:rsidRDefault="00CB162E" w:rsidP="00911102">
      <w:pPr>
        <w:pStyle w:val="ListParagraph"/>
        <w:spacing w:line="240" w:lineRule="auto"/>
        <w:ind w:left="0" w:firstLine="425"/>
        <w:jc w:val="both"/>
        <w:rPr>
          <w:rFonts w:ascii="Palatino Linotype" w:hAnsi="Palatino Linotype"/>
        </w:rPr>
      </w:pPr>
      <w:r w:rsidRPr="00CB162E">
        <w:rPr>
          <w:rFonts w:ascii="Palatino Linotype" w:hAnsi="Palatino Linotype"/>
        </w:rPr>
        <w:t xml:space="preserve">Teenagers are prone to commit suicide because they experience various pressures but do not know the solution to solve them </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"author" : [ { "dropping-particle" : "", "family" : "Yuniar", "given" : "Nanien", "non-dropping-particle" : "", "parse-names" : false, "suffix" : "" } ], "container-title" : "ANTARA News", "id" : "ITEM-1", "issued" : { "date-parts" : [ [ "2017", "7", "19" ] ] }, "publisher-place" : "Jakarta", "title" : "Bunuh Diri Rentan di Kalangan Remaja dan Dewasa Muda", "type" : "article-newspaper" }, "uris" : [ "http://www.mendeley.com/documents/?uuid=ad98d7c8-3bda-4306-b345-9c887f712630" ] } ], "mendeley" : { "formattedCitation" : "(Yuniar, 2017)", "plainTextFormattedCitation" : "(Yuniar, 2017)", "previouslyFormattedCitation" : "(Yuniar, 2017)"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(Yuniar, 2017)</w:t>
      </w:r>
      <w:r w:rsidR="00114C44" w:rsidRPr="00CB162E">
        <w:rPr>
          <w:rFonts w:ascii="Palatino Linotype" w:hAnsi="Palatino Linotype"/>
        </w:rPr>
        <w:fldChar w:fldCharType="end"/>
      </w:r>
      <w:r w:rsidRPr="00CB162E">
        <w:rPr>
          <w:rFonts w:ascii="Palatino Linotype" w:hAnsi="Palatino Linotype"/>
        </w:rPr>
        <w:t>. Furthermore, Raviando</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"author" : [ { "dropping-particle" : "", "family" : "Yuniar", "given" : "Nanien", "non-dropping-particle" : "", "parse-names" : false, "suffix" : "" } ], "container-title" : "ANTARA News", "id" : "ITEM-1", "issued" : { "date-parts" : [ [ "2017", "7", "19" ] ] }, "publisher-place" : "Jakarta", "title" : "Bunuh Diri Rentan di Kalangan Remaja dan Dewasa Muda", "type" : "article-newspaper" }, "uris" : [ "http://www.mendeley.com/documents/?uuid=ad98d7c8-3bda-4306-b345-9c887f712630" ] } ], "mendeley" : { "formattedCitation" : "(Yuniar, 2017)", "manualFormatting" : "(dalam Yuniar, 2017)", "plainTextFormattedCitation" : "(Yuniar, 2017)", "previouslyFormattedCitation" : "(Yuniar, 2017)"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(in Yuniar, 2017)</w:t>
      </w:r>
      <w:r w:rsidR="00114C44" w:rsidRPr="00CB162E">
        <w:rPr>
          <w:rFonts w:ascii="Palatino Linotype" w:hAnsi="Palatino Linotype"/>
        </w:rPr>
        <w:fldChar w:fldCharType="end"/>
      </w:r>
      <w:r w:rsidRPr="00CB162E">
        <w:rPr>
          <w:rFonts w:ascii="Palatino Linotype" w:hAnsi="Palatino Linotype"/>
        </w:rPr>
        <w:t>states that the triggers for a person to commit suicide are stress and depression, feeling alone, having no place to share problems, and feeling that no one understands them. Therefore, students need efforts to reduce and overcome stressfulness in their daily lives.</w:t>
      </w:r>
    </w:p>
    <w:p w:rsidR="00CB162E" w:rsidRPr="00CB162E" w:rsidRDefault="00CB162E" w:rsidP="00911102">
      <w:pPr>
        <w:pStyle w:val="ListParagraph"/>
        <w:spacing w:line="240" w:lineRule="auto"/>
        <w:ind w:left="0" w:firstLine="425"/>
        <w:jc w:val="both"/>
        <w:rPr>
          <w:rFonts w:ascii="Palatino Linotype" w:hAnsi="Palatino Linotype"/>
        </w:rPr>
      </w:pPr>
      <w:r w:rsidRPr="00CB162E">
        <w:rPr>
          <w:rFonts w:ascii="Palatino Linotype" w:hAnsi="Palatino Linotype"/>
        </w:rPr>
        <w:t xml:space="preserve">One form of effort to reduce and overcome stressfulness that is often used by students is to express their feelings to those closest to them. Students who are able to express themselves well will have a positive impact on their social relationships with others, especially peers who play an important role in developing their identity </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"DOI" : "10.1542/pir.29-5-161", "author" : [ { "dropping-particle" : "", "family" : "Hazen", "given" : "Eric", "non-dropping-particle" : "", "parse-names" : false, "suffix" : "" }, { "dropping-particle" : "", "family" : "Schlozman", "given" : "Steven C.", "non-dropping-particle" : "", "parse-names" : false, "suffix" : "" }, { "dropping-particle" : "V.", "family" : "Beresin", "given" : "Eugene", "non-dropping-particle" : "", "parse-names" : false, "suffix" : "" } ], "container-title" : "Pediatrics in Review", "id" : "ITEM-1", "issue" : "5", "issued" : { "date-parts" : [ [ "2008" ] ] }, "page" : "161-168", "title" : "Adolescent Psychological Development: A Review", "type" : "article-journal", "volume" : "29" }, "uris" : [ "http://www.mendeley.com/documents/?uuid=3eda52ae-074b-410f-8b22-1a96b4d1c7e4" ] } ], "mendeley" : { "formattedCitation" : "(Hazen, Schlozman, &amp; Beresin, 2008)", "plainTextFormattedCitation" : "(Hazen, Schlozman, &amp; Beresin, 2008)", "previouslyFormattedCitation" : "(Hazen, Schlozman, &amp; Beresin, 2008)"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(Hazen, Schlozman, &amp; Beresin, 2008)</w:t>
      </w:r>
      <w:r w:rsidR="00114C44" w:rsidRPr="00CB162E">
        <w:rPr>
          <w:rFonts w:ascii="Palatino Linotype" w:hAnsi="Palatino Linotype"/>
        </w:rPr>
        <w:fldChar w:fldCharType="end"/>
      </w:r>
      <w:r w:rsidRPr="00CB162E">
        <w:rPr>
          <w:rFonts w:ascii="Palatino Linotype" w:hAnsi="Palatino Linotype"/>
        </w:rPr>
        <w:t xml:space="preserve">, get social input on problems experienced and encourage interpersonal relationships </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"DOI" : "10.1111/1467-9507.00174", "author" : [ { "dropping-particle" : "", "family" : "Howe", "given" : "Nina", "non-dropping-particle" : "", "parse-names" : false, "suffix" : "" }, { "dropping-particle" : "", "family" : "Aquan-Assee", "given" : "Jasmin", "non-dropping-particle" : "", "parse-names" : false, "suffix" : "" }, { "dropping-particle" : "", "family" : "Bukowski", "given" : "William M", "non-dropping-particle" : "", "parse-names" : false, "suffix" : "" }, { "dropping-particle" : "", "family" : "Lehoux", "given" : "Pascale M", "non-dropping-particle" : "", "parse-names" : false, "suffix" : "" }, { "dropping-particle" : "", "family" : "Rinaldi", "given" : "Christina M.", "non-dropping-particle" : "", "parse-names" : false, "suffix" : "" } ], "container-title" : "Social Development", "id" : "ITEM-1", "issue" : "4", "issued" : { "date-parts" : [ [ "2001" ] ] }, "page" : "439-454", "title" : "Siblings as Confidants: Emotional Understanding, Relationship Warmth, and Sibling Self-Disclosure", "type" : "article-journal", "volume" : "10" }, "uris" : [ "http://www.mendeley.com/documents/?uuid=cdb1905f-9ea3-4b7a-a88e-51aac028b20b" ] } ], "mendeley" : { "formattedCitation" : "(Howe, Aquan-Assee, Bukowski, Lehoux, &amp; Rinaldi, 2001)", "plainTextFormattedCitation" : "(Howe, Aquan-Assee, Bukowski, Lehoux, &amp; Rinaldi, 2001)", "previouslyFormattedCitation" : "(Howe, Aquan-Assee, Bukowski, Lehoux, &amp; Rinaldi, 2001)"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(Howe, Aquan-Assee, Bukowski, Lehoux, &amp; Rinaldi, 2001)</w:t>
      </w:r>
      <w:r w:rsidR="00114C44" w:rsidRPr="00CB162E">
        <w:rPr>
          <w:rFonts w:ascii="Palatino Linotype" w:hAnsi="Palatino Linotype"/>
        </w:rPr>
        <w:fldChar w:fldCharType="end"/>
      </w:r>
      <w:r w:rsidRPr="00CB162E">
        <w:rPr>
          <w:rFonts w:ascii="Palatino Linotype" w:hAnsi="Palatino Linotype"/>
        </w:rPr>
        <w:t xml:space="preserve">, create a sense of security, self-acceptance, see yourself more deeply and resolve the pressure at hand </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"author" : [ { "dropping-particle" : "", "family" : "Asandi", "given" : "A. R.", "non-dropping-particle" : "", "parse-names" : false, "suffix" : "" }, { "dropping-particle" : "", "family" : "Rosyidi", "given" : "H.", "non-dropping-particle" : "", "parse-names" : false, "suffix" : "" } ], "container-title" : "Jurnal Penelitian Psikologi", "id" : "ITEM-1", "issue" : "1", "issued" : { "date-parts" : [ [ "2010" ] ] }, "title" : "Self Disclosure pada Remaja pengguna facebook", "type" : "article-journal", "volume" : "1" }, "uris" : [ "http://www.mendeley.com/documents/?uuid=f1d982f9-f8eb-40a0-983d-08d93fef520c" ] } ], "mendeley" : { "formattedCitation" : "(Asandi &amp; Rosyidi, 2010)", "plainTextFormattedCitation" : "(Asandi &amp; Rosyidi, 2010)", "previouslyFormattedCitation" : "(Asandi &amp; Rosyidi, 2010)"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(Asandi &amp; Rosyidi, 2010)</w:t>
      </w:r>
      <w:r w:rsidR="00114C44" w:rsidRPr="00CB162E">
        <w:rPr>
          <w:rFonts w:ascii="Palatino Linotype" w:hAnsi="Palatino Linotype"/>
        </w:rPr>
        <w:fldChar w:fldCharType="end"/>
      </w:r>
      <w:r w:rsidRPr="00CB162E">
        <w:rPr>
          <w:rFonts w:ascii="Palatino Linotype" w:hAnsi="Palatino Linotype"/>
        </w:rPr>
        <w:t xml:space="preserve">, relieve psychological pressure </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"DOI" : "10.1027/1901-2276.59.4.362", "ISBN" : "1901-2276", "ISSN" : "1901-2276", "abstract" : "The phenomenon of self-disclosure has been actively studied in several sub-discliplines of psy- chology from the 1970s on, and neighbouring disciplines, such as social and communication sciences, have enriched the psychological understanding of the topic. The psychological litera- ture on self-disclosure, which is viewed, sometimes as a trait-like construct, varying in degree from one person to another, and sometimes as an interpersonal process which occurs when individuals interact with each other, has addressed, in particular, the issues of reciprocity effect, sex differences, self-disclosure in intimate vs. non-intimate relationships, the benefits to be derived from disclosing, and the emotional or anxiety-based motives for disclosure. The present article aims to present a broad and general overview of the self-disclosure literature by integrat- ing empirical discoveries from different areas of science. Self-disclosure is here approached by outlining the characteristics of the discloser and the recipient that promote or prevent self-disclosing, the relationship between the discloser and the recipient, some situational and cultural factors affecting self-disclosure, and the benefits and risks of self-disclosing. Keywords: self-disclosure, reciprocity effect, sex differences, characteristics of the discloser, features of the recipient", "author" : [ { "dropping-particle" : "", "family" : "Ignatius", "given" : "Emmi", "non-dropping-particle" : "", "parse-names" : false, "suffix" : "" }, { "dropping-particle" : "", "family" : "Kokkonen", "given" : "Marja", "non-dropping-particle" : "", "parse-names" : false, "suffix" : "" } ], "container-title" : "Nordic Psychology", "id" : "ITEM-1", "issue" : "4", "issued" : { "date-parts" : [ [ "2007" ] ] }, "page" : "362-391", "title" : "Factors contributing to verbal self-disclosure", "type" : "article-journal", "volume" : "59" }, "uris" : [ "http://www.mendeley.com/documents/?uuid=229a76f3-58d9-419c-8a75-8f911643b71a" ] } ], "mendeley" : { "formattedCitation" : "(Ignatius &amp; Kokkonen, 2007)", "plainTextFormattedCitation" : "(Ignatius &amp; Kokkonen, 2007)", "previouslyFormattedCitation" : "(Ignatius &amp; Kokkonen, 2007)"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(Ignatius &amp; Kokkonen, 2007)</w:t>
      </w:r>
      <w:r w:rsidR="00114C44" w:rsidRPr="00CB162E">
        <w:rPr>
          <w:rFonts w:ascii="Palatino Linotype" w:hAnsi="Palatino Linotype"/>
        </w:rPr>
        <w:fldChar w:fldCharType="end"/>
      </w:r>
      <w:r w:rsidRPr="00CB162E">
        <w:rPr>
          <w:rFonts w:ascii="Palatino Linotype" w:hAnsi="Palatino Linotype"/>
        </w:rPr>
        <w:t xml:space="preserve">, reduce loneliness, depression and anxiety symptoms </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"DOI" : "10.1521/jscp.20.1.41.22254", "ISBN" : "0736-7236", "ISSN" : "0736-7236", "abstract" : "Individual differences in one's tendency to conceal versus disclose\\npsychological distress were hypothesized to reflect a unidimensional\\nconstruct related to changes in psychological adjustment. These\\nhypotheses were tested using a newly validated self report instrument\\ncalled the Distress Disclosure Index. Both exploratory and confirmatory\\nfactor analyses supported the existence of one bipolar dimension\\nreflecting the frequent concealment (i.e., rare disclosure) of distress\\non one end of the continuum and frequent disclosure(i.e., rare\\nconcealment) on the other. Moreover, this construct predicted changes in\\nself-esteem, life satisfaction, and perceived social support over a\\n2-month period. Implications for the measurement and theories of\\nconcealment and disclosure are discussed.", "author" : [ { "dropping-particle" : "", "family" : "Kahn", "given" : "Jeffrey H.", "non-dropping-particle" : "", "parse-names" : false, "suffix" : "" }, { "dropping-particle" : "", "family" : "Hessling", "given" : "Robert M.", "non-dropping-particle" : "", "parse-names" : false, "suffix" : "" } ], "container-title" : "Journal of Social and Clinical Psychology", "id" : "ITEM-1", "issue" : "1", "issued" : { "date-parts" : [ [ "2001" ] ] }, "page" : "41-65", "title" : "Measuring the Tendency to Conceal Versus Disclose Psychological Distress", "type" : "article-journal", "volume" : "20" }, "uris" : [ "http://www.mendeley.com/documents/?uuid=f8e21208-2939-45df-a7c6-083c43c79810" ] }, { "id" : "ITEM-2", "itemData" : { "DOI" : "10.1037/0022-0167.52.4.602", "ISBN" : "0022-0167", "ISSN" : "00220167", "abstract" : "This longitudinal study examined whether social self-efficacy and self-disclosure serve as mediators between attachment and feelings of loneliness and subsequent depression. Participants were 308 fresh- men at a large midwestern university. Results indicated that social self-efficacy mediated the association between attachment anxiety and feelings of loneliness and subsequent depression, whereas self- disclosure mediated the association between attachment avoidance and feelings of loneliness and subsequent depression. These relationships were found after controlling for the initial level of depression. A total of 55% of the variance in loneliness was explained by attachment anxiety, social self-efficacy, and self-disclosure, whereas 42% of the variance in subsequent depression was explained by the initial level of loneliness and depression. Implications of the findings for enhancing freshman adjustment are discussed.", "author" : [ { "dropping-particle" : "", "family" : "Wei", "given" : "Meifen", "non-dropping-particle" : "", "parse-names" : false, "suffix" : "" }, { "dropping-particle" : "", "family" : "Russell", "given" : "Daniel W.", "non-dropping-particle" : "", "parse-names" : false, "suffix" : "" }, { "dropping-particle" : "", "family" : "Zakalik", "given" : "Robyn A.", "non-dropping-particle" : "", "parse-names" : false, "suffix" : "" } ], "container-title" : "Journal of Counseling Psychology", "id" : "ITEM-2", "issue" : "4", "issued" : { "date-parts" : [ [ "2005" ] ] }, "page" : "602-614", "title" : "Adult attachment, social self-efficacy, self-disclosure, loneliness, and subsequent depression for freshman college students: A longitudinal study", "type" : "article-journal", "volume" : "52" }, "uris" : [ "http://www.mendeley.com/documents/?uuid=9c3f5681-4628-454a-a93a-946e59b6eaff" ] } ], "mendeley" : { "formattedCitation" : "(Kahn &amp; Hessling, 2001; Wei, Russell, &amp; Zakalik, 2005)", "plainTextFormattedCitation" : "(Kahn &amp; Hessling, 2001; Wei, Russell, &amp; Zakalik, 2005)", "previouslyFormattedCitation" : "(Kahn &amp; Hessling, 2001; Wei, Russell, &amp; Zakalik, 2005)"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(Kahn &amp; Hessling, 2001; Wei, Russell, &amp; Zakalik, 2005)</w:t>
      </w:r>
      <w:r w:rsidR="00114C44" w:rsidRPr="00CB162E">
        <w:rPr>
          <w:rFonts w:ascii="Palatino Linotype" w:hAnsi="Palatino Linotype"/>
        </w:rPr>
        <w:fldChar w:fldCharType="end"/>
      </w:r>
      <w:r w:rsidRPr="00CB162E">
        <w:rPr>
          <w:rFonts w:ascii="Palatino Linotype" w:hAnsi="Palatino Linotype"/>
        </w:rPr>
        <w:t>. Based on this description, it can be understood that self-disclosure is one of the important aspects that students must have to complete their developmental tasks as adolescents.</w:t>
      </w:r>
    </w:p>
    <w:p w:rsidR="00CB162E" w:rsidRPr="00CB162E" w:rsidRDefault="00114C44" w:rsidP="00911102">
      <w:pPr>
        <w:pStyle w:val="ListParagraph"/>
        <w:spacing w:line="240" w:lineRule="auto"/>
        <w:ind w:left="0" w:firstLine="425"/>
        <w:jc w:val="both"/>
        <w:rPr>
          <w:rFonts w:ascii="Palatino Linotype" w:hAnsi="Palatino Linotype"/>
        </w:rPr>
      </w:pPr>
      <w:r w:rsidRPr="00CB162E">
        <w:rPr>
          <w:rFonts w:ascii="Palatino Linotype" w:hAnsi="Palatino Linotype"/>
        </w:rPr>
        <w:fldChar w:fldCharType="begin" w:fldLock="1"/>
      </w:r>
      <w:r w:rsidR="00CB162E" w:rsidRPr="00CB162E">
        <w:rPr>
          <w:rFonts w:ascii="Palatino Linotype" w:hAnsi="Palatino Linotype"/>
        </w:rPr>
        <w:instrText>ADDIN CSL_CITATION { "citationItems" : [ { "id" : "ITEM-1", "itemData" : { "author" : [ { "dropping-particle" : "", "family" : "Nirwana", "given" : "Herman", "non-dropping-particle" : "", "parse-names" : false, "suffix" : "" } ], "container-title" : "Jurnal Ilmu Pendidikan", "id" : "ITEM-1", "issue" : "1", "issued" : { "date-parts" : [ [ "2012" ] ] }, "page" : "1-7", "title" : "Pengungkapan Diri Siswa Sekolah Menengah dan Implikasinya Bagi Konseling", "type" : "article-journal", "volume" : "18" }, "uris" : [ "http://www.mendeley.com/documents/?uuid=06f853c2-fdaf-4932-9198-d93866e6d72f" ] } ], "mendeley" : { "formattedCitation" : "(Nirwana, 2012)", "manualFormatting" : "Nirwana (2012)", "plainTextFormattedCitation" : "(Nirwana, 2012)", "previouslyFormattedCitation" : "(Nirwana, 2012)" }, "properties" : {  }, "schema" : "https://github.com/citation-style-language/schema/raw/master/csl-citation.json" }</w:instrText>
      </w:r>
      <w:r w:rsidRPr="00CB162E">
        <w:rPr>
          <w:rFonts w:ascii="Palatino Linotype" w:hAnsi="Palatino Linotype"/>
        </w:rPr>
        <w:fldChar w:fldCharType="separate"/>
      </w:r>
      <w:r w:rsidR="00730B6E">
        <w:rPr>
          <w:rFonts w:ascii="Palatino Linotype" w:hAnsi="Palatino Linotype"/>
          <w:noProof/>
        </w:rPr>
        <w:t>Nirw</w:t>
      </w:r>
      <w:r w:rsidR="00CB162E" w:rsidRPr="00CB162E">
        <w:rPr>
          <w:rFonts w:ascii="Palatino Linotype" w:hAnsi="Palatino Linotype"/>
          <w:noProof/>
        </w:rPr>
        <w:t>ana (2012)</w:t>
      </w:r>
      <w:r w:rsidRPr="00CB162E">
        <w:rPr>
          <w:rFonts w:ascii="Palatino Linotype" w:hAnsi="Palatino Linotype"/>
        </w:rPr>
        <w:fldChar w:fldCharType="end"/>
      </w:r>
      <w:r w:rsidR="00CB162E" w:rsidRPr="00CB162E">
        <w:rPr>
          <w:rFonts w:ascii="Palatino Linotype" w:hAnsi="Palatino Linotype"/>
        </w:rPr>
        <w:t xml:space="preserve"> in his research revealed that the level of students' self-disclosure is in the low category with the highest average score of 48 and the lowest average score of 25. If students are not open to both peers and parents, it will result in a sense of loneliness. </w:t>
      </w:r>
      <w:r w:rsidRPr="00CB162E">
        <w:rPr>
          <w:rFonts w:ascii="Palatino Linotype" w:hAnsi="Palatino Linotype"/>
        </w:rPr>
        <w:fldChar w:fldCharType="begin" w:fldLock="1"/>
      </w:r>
      <w:r w:rsidR="00CB162E" w:rsidRPr="00CB162E">
        <w:rPr>
          <w:rFonts w:ascii="Palatino Linotype" w:hAnsi="Palatino Linotype"/>
        </w:rPr>
        <w:instrText>ADDIN CSL_CITATION { "citationItems" : [ { "id" : "ITEM-1", "itemData" : { "DOI" : "10.1007/978-1-4899-3523-6", "ISBN" : "978-1-4899-3525-0", "author" : [ { "dropping-particle" : "", "family" : "Derlega", "given" : "V. J.", "non-dropping-particle" : "", "parse-names" : false, "suffix" : "" }, { "dropping-particle" : "", "family" : "Berg", "given" : "J. H.", "non-dropping-particle" : "", "parse-names" : false, "suffix" : "" } ], "id" : "ITEM-1", "issued" : { "date-parts" : [ [ "1987" ] ] }, "publisher" : "Plenum Press", "publisher-place" : "New York", "title" : "Self Disclosure: Theory, Research, and Therapy", "type" : "book" }, "uris" : [ "http://www.mendeley.com/documents/?uuid=c1dade5a-e423-4b66-bc10-547cecba8fd1" ] } ], "mendeley" : { "formattedCitation" : "(Derlega &amp; Berg, 1987)", "plainTextFormattedCitation" : "(Derlega &amp; Berg, 1987)", "previouslyFormattedCitation" : "(Derlega &amp; Berg, 1987)" }, "properties" : {  }, "schema" : "https://github.com/citation-style-language/schema/raw/master/csl-citation.json" }</w:instrText>
      </w:r>
      <w:r w:rsidRPr="00CB162E">
        <w:rPr>
          <w:rFonts w:ascii="Palatino Linotype" w:hAnsi="Palatino Linotype"/>
        </w:rPr>
        <w:fldChar w:fldCharType="separate"/>
      </w:r>
      <w:r w:rsidR="00CB162E" w:rsidRPr="00CB162E">
        <w:rPr>
          <w:rFonts w:ascii="Palatino Linotype" w:hAnsi="Palatino Linotype"/>
          <w:noProof/>
        </w:rPr>
        <w:t>(Derlega &amp; Berg, 1987)</w:t>
      </w:r>
      <w:r w:rsidRPr="00CB162E">
        <w:rPr>
          <w:rFonts w:ascii="Palatino Linotype" w:hAnsi="Palatino Linotype"/>
        </w:rPr>
        <w:fldChar w:fldCharType="end"/>
      </w:r>
      <w:r w:rsidR="00CB162E" w:rsidRPr="00CB162E">
        <w:rPr>
          <w:rFonts w:ascii="Palatino Linotype" w:hAnsi="Palatino Linotype"/>
        </w:rPr>
        <w:t xml:space="preserve">, get less social acceptance </w:t>
      </w:r>
      <w:r w:rsidRPr="00CB162E">
        <w:rPr>
          <w:rFonts w:ascii="Palatino Linotype" w:hAnsi="Palatino Linotype"/>
        </w:rPr>
        <w:fldChar w:fldCharType="begin" w:fldLock="1"/>
      </w:r>
      <w:r w:rsidR="00CB162E" w:rsidRPr="00CB162E">
        <w:rPr>
          <w:rFonts w:ascii="Palatino Linotype" w:hAnsi="Palatino Linotype"/>
        </w:rPr>
        <w:instrText>ADDIN CSL_CITATION { "citationItems" : [ { "id" : "ITEM-1", "itemData" : { "author" : [ { "dropping-particle" : "", "family" : "Gainau", "given" : "Maryam B.", "non-dropping-particle" : "", "parse-names" : false, "suffix" : "" } ], "container-title" : "Jurnal Ilmiah Ilmu Pendidikan", "id" : "ITEM-1", "issue" : "1", "issued" : { "date-parts" : [ [ "2009" ] ] }, "page" : "1-18", "title" : "Keterbukaan Diri (Self Disclosure) Siswa dalam Perspektif Budaya dan Implikasinya Bagi Konseling", "type" : "article-journal", "volume" : "3" }, "uris" : [ "http://www.mendeley.com/documents/?uuid=b2c2ecf6-298a-40c7-a24b-2f2426a52430" ] } ], "mendeley" : { "formattedCitation" : "(Gainau, 2009)", "plainTextFormattedCitation" : "(Gainau, 2009)", "previouslyFormattedCitation" : "(Gainau, 2009)" }, "properties" : {  }, "schema" : "https://github.com/citation-style-language/schema/raw/master/csl-citation.json" }</w:instrText>
      </w:r>
      <w:r w:rsidRPr="00CB162E">
        <w:rPr>
          <w:rFonts w:ascii="Palatino Linotype" w:hAnsi="Palatino Linotype"/>
        </w:rPr>
        <w:fldChar w:fldCharType="separate"/>
      </w:r>
      <w:r w:rsidR="00CB162E" w:rsidRPr="00CB162E">
        <w:rPr>
          <w:rFonts w:ascii="Palatino Linotype" w:hAnsi="Palatino Linotype"/>
          <w:noProof/>
        </w:rPr>
        <w:t>(Gainau, 2009)</w:t>
      </w:r>
      <w:r w:rsidRPr="00CB162E">
        <w:rPr>
          <w:rFonts w:ascii="Palatino Linotype" w:hAnsi="Palatino Linotype"/>
        </w:rPr>
        <w:fldChar w:fldCharType="end"/>
      </w:r>
      <w:r w:rsidR="00CB162E" w:rsidRPr="00CB162E">
        <w:rPr>
          <w:rFonts w:ascii="Palatino Linotype" w:hAnsi="Palatino Linotype"/>
        </w:rPr>
        <w:t xml:space="preserve"> and interfere with his mental health </w:t>
      </w:r>
      <w:r w:rsidRPr="00CB162E">
        <w:rPr>
          <w:rFonts w:ascii="Palatino Linotype" w:hAnsi="Palatino Linotype"/>
        </w:rPr>
        <w:fldChar w:fldCharType="begin" w:fldLock="1"/>
      </w:r>
      <w:r w:rsidR="00CB162E" w:rsidRPr="00CB162E">
        <w:rPr>
          <w:rFonts w:ascii="Palatino Linotype" w:hAnsi="Palatino Linotype"/>
        </w:rPr>
        <w:instrText>ADDIN CSL_CITATION { "citationItems" : [ { "id" : "ITEM-1", "itemData" : { "author" : [ { "dropping-particle" : "", "family" : "Supratiknya", "given" : "", "non-dropping-particle" : "", "parse-names" : false, "suffix" : "" } ], "id" : "ITEM-1", "issued" : { "date-parts" : [ [ "1995" ] ] }, "publisher" : "Kanisius", "publisher-place" : "Yogyakarta", "title" : "Komunikasi Antarpribadi", "type" : "book" }, "uris" : [ "http://www.mendeley.com/documents/?uuid=d4fc483c-4d39-4391-af22-3b3b254b1220" ] } ], "mendeley" : { "formattedCitation" : "(Supratiknya, 1995)", "plainTextFormattedCitation" : "(Supratiknya, 1995)", "previouslyFormattedCitation" : "(Supratiknya, 1995)" }, "properties" : {  }, "schema" : "https://github.com/citation-style-language/schema/raw/master/csl-citation.json" }</w:instrText>
      </w:r>
      <w:r w:rsidRPr="00CB162E">
        <w:rPr>
          <w:rFonts w:ascii="Palatino Linotype" w:hAnsi="Palatino Linotype"/>
        </w:rPr>
        <w:fldChar w:fldCharType="separate"/>
      </w:r>
      <w:r w:rsidR="00CB162E" w:rsidRPr="00CB162E">
        <w:rPr>
          <w:rFonts w:ascii="Palatino Linotype" w:hAnsi="Palatino Linotype"/>
          <w:noProof/>
        </w:rPr>
        <w:t>(Supratiknya, 1995)</w:t>
      </w:r>
      <w:r w:rsidRPr="00CB162E">
        <w:rPr>
          <w:rFonts w:ascii="Palatino Linotype" w:hAnsi="Palatino Linotype"/>
        </w:rPr>
        <w:fldChar w:fldCharType="end"/>
      </w:r>
      <w:r w:rsidR="00CB162E" w:rsidRPr="00CB162E">
        <w:rPr>
          <w:rFonts w:ascii="Palatino Linotype" w:hAnsi="Palatino Linotype"/>
        </w:rPr>
        <w:t>. This will certainly hinder the development process of students as adolescents.</w:t>
      </w:r>
    </w:p>
    <w:p w:rsidR="00CB162E" w:rsidRPr="00CB162E" w:rsidRDefault="00CB162E" w:rsidP="00911102">
      <w:pPr>
        <w:pStyle w:val="ListParagraph"/>
        <w:spacing w:line="240" w:lineRule="auto"/>
        <w:ind w:left="0" w:firstLine="425"/>
        <w:jc w:val="both"/>
        <w:rPr>
          <w:rFonts w:ascii="Palatino Linotype" w:hAnsi="Palatino Linotype"/>
          <w:i/>
        </w:rPr>
      </w:pPr>
      <w:r w:rsidRPr="00CB162E">
        <w:rPr>
          <w:rFonts w:ascii="Palatino Linotype" w:hAnsi="Palatino Linotype"/>
        </w:rPr>
        <w:t>The problem of students' low self-disclosure problem is caused by several factors, among others; culture, gender, group size, feelings of liking / trust, personality, and age</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"author" : [ { "dropping-particle" : "", "family" : "Jourard", "given" : "S. M.", "non-dropping-particle" : "", "parse-names" : false, "suffix" : "" } ], "id" : "ITEM-1", "issued" : { "date-parts" : [ [ "1979" ] ] }, "publisher" : "Wiley-Interscience", "publisher-place" : "New York", "title" : "Self Disclosure: An Experimental Analysis of the Transparent Self", "type" : "book" }, "uris" : [ "http://www.mendeley.com/documents/?uuid=cbf54a8a-adad-4046-bcec-17e69f9e1119" ] } ], "mendeley" : { "formattedCitation" : "(Jourard, 1979)", "plainTextFormattedCitation" : "(Jourard, 1979)", "previouslyFormattedCitation" : "(Jourard, 1979)"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(Jourard, 1979)</w:t>
      </w:r>
      <w:r w:rsidR="00114C44" w:rsidRPr="00CB162E">
        <w:rPr>
          <w:rFonts w:ascii="Palatino Linotype" w:hAnsi="Palatino Linotype"/>
        </w:rPr>
        <w:fldChar w:fldCharType="end"/>
      </w:r>
      <w:r w:rsidRPr="00CB162E">
        <w:rPr>
          <w:rFonts w:ascii="Palatino Linotype" w:hAnsi="Palatino Linotype"/>
        </w:rPr>
        <w:t>. Petronio</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"DOI" : "10.1080/17475759.2010.520837", "ISSN" : "17475759", "abstract" : "This paper discusses a survey, carried out by the authors, of Hindu and Muslim men and women in six Indian states to determine if social/cultural identities influenced self-disclosure. Specifically, an individual's sex, religious, and state identity were investigated. Results indicated that across religions, women disclosed more than men. Comparisons based on religious identification and state of birth revealed significant differences between Hindus and Muslims and between states of birth on self-disclosure. Results also suggest the predictive power of religious identification and state of birth vary dependent upon the dimensions of self-disclosure. Implications for future research include further examination of aspects of identity related to self-disclosure. ABSTRACT FROM AUTHOR]; Copyright of Journal of Intercultural Communication Research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"Croucher", "given" : "Stephen M.", "non-dropping-particle" : "", "parse-names" : false, "suffix" : "" }, { "dropping-particle" : "", "family" : "Faulkner", "given" : "Sandra L.", "non-dropping-particle" : "", "parse-names" : false, "suffix" : "" }, { "dropping-particle" : "", "family" : "Oommen", "given" : "Deepa", "non-dropping-particle" : "", "parse-names" : false, "suffix" : "" }, { "dropping-particle" : "", "family" : "Long", "given" : "Bridget", "non-dropping-particle" : "", "parse-names" : false, "suffix" : "" } ], "container-title" : "Journal of Intercultural Communication Research", "id" : "ITEM-1", "issue" : "1", "issued" : { "date-parts" : [ [ "2010" ] ] }, "page" : "29-48", "title" : "Demographic and Religious Differences in the Dimensions of Self-Disclosure Among Hindus and Muslims in India", "type" : "article-journal", "volume" : "39" }, "uris" : [ "http://www.mendeley.com/documents/?uuid=ec69f40e-c2b2-4ae1-9213-13030928f246" ] } ], "mendeley" : { "formattedCitation" : "(Croucher, Faulkner, Oommen, &amp; Long, 2010)", "manualFormatting" : "(dalam Croucher, Faulkner, Oommen, &amp; Long, 2010)", "plainTextFormattedCitation" : "(Croucher, Faulkner, Oommen, &amp; Long, 2010)", "previouslyFormattedCitation" : "(Croucher, Faulkner, Oommen, &amp; Long, 2010)"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(in Croucher, Faulkner, Oommen, &amp; Long, 2010)</w:t>
      </w:r>
      <w:r w:rsidR="00114C44" w:rsidRPr="00CB162E">
        <w:rPr>
          <w:rFonts w:ascii="Palatino Linotype" w:hAnsi="Palatino Linotype"/>
        </w:rPr>
        <w:fldChar w:fldCharType="end"/>
      </w:r>
      <w:r w:rsidRPr="00CB162E">
        <w:rPr>
          <w:rFonts w:ascii="Palatino Linotype" w:hAnsi="Palatino Linotype"/>
        </w:rPr>
        <w:t>describes the factors that influence self-disclosure including: gender, culture, and the context of the conversation. Gainau's research results</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"author" : [ { "dropping-particle" : "", "family" : "Gainau", "given" : "Maryam B.", "non-dropping-particle" : "", "parse-names" : false, "suffix" : "" } ], "container-title" : "Jurnal Ilmiah Ilmu Pendidikan", "id" : "ITEM-1", "issue" : "1", "issued" : { "date-parts" : [ [ "2009" ] ] }, "page" : "1-18", "title" : "Keterbukaan Diri (Self Disclosure) Siswa dalam Perspektif Budaya dan Implikasinya Bagi Konseling", "type" : "article-journal", "volume" : "3" }, "uris" : [ "http://www.mendeley.com/documents/?uuid=b2c2ecf6-298a-40c7-a24b-2f2426a52430" ] } ], "mendeley" : { "formattedCitation" : "(Gainau, 2009)", "manualFormatting" : "(2009)", "plainTextFormattedCitation" : "(Gainau, 2009)", "previouslyFormattedCitation" : "(Gainau, 2009)"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(2009)</w:t>
      </w:r>
      <w:r w:rsidR="00114C44" w:rsidRPr="00CB162E">
        <w:rPr>
          <w:rFonts w:ascii="Palatino Linotype" w:hAnsi="Palatino Linotype"/>
        </w:rPr>
        <w:fldChar w:fldCharType="end"/>
      </w:r>
      <w:r w:rsidRPr="00CB162E">
        <w:rPr>
          <w:rFonts w:ascii="Palatino Linotype" w:hAnsi="Palatino Linotype"/>
        </w:rPr>
        <w:t xml:space="preserve"> revealed that culture and gender are factors that influence self-disclosure, so that the cultural values ​​possessed by a community group determine their views on self-disclosure.</w:t>
      </w:r>
    </w:p>
    <w:p w:rsidR="00CB162E" w:rsidRPr="00CB162E" w:rsidRDefault="00CB162E" w:rsidP="00911102">
      <w:pPr>
        <w:pStyle w:val="ListParagraph"/>
        <w:spacing w:line="240" w:lineRule="auto"/>
        <w:ind w:left="0" w:firstLine="425"/>
        <w:jc w:val="both"/>
        <w:rPr>
          <w:rFonts w:ascii="Palatino Linotype" w:hAnsi="Palatino Linotype"/>
        </w:rPr>
      </w:pPr>
      <w:r w:rsidRPr="00CB162E">
        <w:rPr>
          <w:rFonts w:ascii="Palatino Linotype" w:hAnsi="Palatino Linotype"/>
        </w:rPr>
        <w:t xml:space="preserve">In general, collectivistic societies like Asia tend to hide their feelings more than individualistic societies like America </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"author" : [ { "dropping-particle" : "", "family" : "Gainau", "given" : "Maryam B.", "non-dropping-particle" : "", "parse-names" : false, "suffix" : "" } ], "container-title" : "Jurnal Ilmiah Ilmu Pendidikan", "id" : "ITEM-1", "issue" : "1", "issued" : { "date-parts" : [ [ "2009" ] ] }, "page" : "1-18", "title" : "Keterbukaan Diri (Self Disclosure) Siswa dalam Perspektif Budaya dan Implikasinya Bagi Konseling", "type" : "article-journal", "volume" : "3" }, "uris" : [ "http://www.mendeley.com/documents/?uuid=b2c2ecf6-298a-40c7-a24b-2f2426a52430" ] } ], "mendeley" : { "formattedCitation" : "(Gainau, 2009)", "plainTextFormattedCitation" : "(Gainau, 2009)", "previouslyFormattedCitation" : "(Gainau, 2009)"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(Gainau, 2009)</w:t>
      </w:r>
      <w:r w:rsidR="00114C44" w:rsidRPr="00CB162E">
        <w:rPr>
          <w:rFonts w:ascii="Palatino Linotype" w:hAnsi="Palatino Linotype"/>
        </w:rPr>
        <w:fldChar w:fldCharType="end"/>
      </w:r>
      <w:r w:rsidRPr="00CB162E">
        <w:rPr>
          <w:rFonts w:ascii="Palatino Linotype" w:hAnsi="Palatino Linotype"/>
        </w:rPr>
        <w:t xml:space="preserve">. </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"author" : [ { "dropping-particle" : "", "family" : "Berry-cyprian", "given" : "Derae", "non-dropping-particle" : "", "parse-names" : false, "suffix" : "" }, { "dropping-particle" : "", "family" : "Nelson", "given" : "Rachel", "non-dropping-particle" : "", "parse-names" : false, "suffix" : "" }, { "dropping-particle" : "", "family" : "Yang", "given" : "Belinda", "non-dropping-particle" : "", "parse-names" : false, "suffix" : "" } ], "container-title" : "Concordia Journal of Communication Research", "id" : "ITEM-1", "issued" : { "date-parts" : [ [ "2017" ] ] }, "page" : "1-26", "title" : "Self-Disclosure, Culture &amp; Situational Influence: An Analysis of Interracial Interaction", "type" : "article-journal" }, "uris" : [ "http://www.mendeley.com/documents/?uuid=b6c6295c-248b-4b55-be4f-33eece69a481" ] } ], "mendeley" : { "formattedCitation" : "(Berry-cyprian, Nelson, &amp; Yang, 2017)", "manualFormatting" : "Berry-cyprian, Nelson, &amp; Yang (2017)", "plainTextFormattedCitation" : "(Berry-cyprian, Nelson, &amp; Yang, 2017)", "previouslyFormattedCitation" : "(Berry-cyprian, Nelson, &amp; Yang, 2017)"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Berry-cyprian, Nelson, &amp; Yang (2017)</w:t>
      </w:r>
      <w:r w:rsidR="00114C44" w:rsidRPr="00CB162E">
        <w:rPr>
          <w:rFonts w:ascii="Palatino Linotype" w:hAnsi="Palatino Linotype"/>
        </w:rPr>
        <w:fldChar w:fldCharType="end"/>
      </w:r>
      <w:r w:rsidRPr="00CB162E">
        <w:rPr>
          <w:rFonts w:ascii="Palatino Linotype" w:hAnsi="Palatino Linotype"/>
        </w:rPr>
        <w:t>explained that the level of self-disclosure with the target person (family, friends, and foreigners) of Middle Eastern ethnicity is higher than that of Caucasians, African Americans, and Asia-Pacific, with details: Caucasian ethnicity is 42% to all target persons, African Americans by 44 % only to friends, Asia-Pacific by 63% only to friends, and the Middle East by 50% to all target persons. Research result</w:t>
      </w:r>
      <w:r w:rsidR="00D366C7">
        <w:rPr>
          <w:rFonts w:ascii="Palatino Linotype" w:hAnsi="Palatino Linotype"/>
        </w:rPr>
        <w:t xml:space="preserve"> </w:t>
      </w:r>
      <w:r w:rsidR="00114C44" w:rsidRPr="00CB162E">
        <w:rPr>
          <w:rFonts w:ascii="Palatino Linotype" w:hAnsi="Palatino Linotype"/>
        </w:rPr>
        <w:fldChar w:fldCharType="begin" w:fldLock="1"/>
      </w:r>
      <w:r w:rsidRPr="00CB162E">
        <w:rPr>
          <w:rFonts w:ascii="Palatino Linotype" w:hAnsi="Palatino Linotype"/>
        </w:rPr>
        <w:instrText>ADDIN CSL_CITATION { "citationItems" : [ { "id" : "ITEM-1", "itemData" : { "author" : [ { "dropping-particle" : "", "family" : "Chalidaziah", "given" : "Wan", "non-dropping-particle" : "", "parse-names" : false, "suffix" : "" } ], "id" : "ITEM-1", "issued" : { "date-parts" : [ [ "2018" ] ] }, "publisher" : "Universitas Negeri Padang", "title" : "Self Disclosure Mahasiswa (Kajian dalam Budaya Aceh dan Melayu)", "type" : "thesis" }, "uris" : [ "http://www.mendeley.com/documents/?uuid=fea7b155-0808-4c75-a698-8aad8f9a1153" ] } ], "mendeley" : { "formattedCitation" : "(Chalidaziah, 2018)", "manualFormatting" : "Chalidaziah (2018)", "plainTextFormattedCitation" : "(Chalidaziah, 2018)", "previouslyFormattedCitation" : "(Chalidaziah, 2018)" }, "properties" : {  }, "schema" : "https://github.com/citation-style-language/schema/raw/master/csl-citation.json" }</w:instrText>
      </w:r>
      <w:r w:rsidR="00114C44" w:rsidRPr="00CB162E">
        <w:rPr>
          <w:rFonts w:ascii="Palatino Linotype" w:hAnsi="Palatino Linotype"/>
        </w:rPr>
        <w:fldChar w:fldCharType="separate"/>
      </w:r>
      <w:r w:rsidRPr="00CB162E">
        <w:rPr>
          <w:rFonts w:ascii="Palatino Linotype" w:hAnsi="Palatino Linotype"/>
          <w:noProof/>
        </w:rPr>
        <w:t>Chalidaziah (2018)</w:t>
      </w:r>
      <w:r w:rsidR="00114C44" w:rsidRPr="00CB162E">
        <w:rPr>
          <w:rFonts w:ascii="Palatino Linotype" w:hAnsi="Palatino Linotype"/>
        </w:rPr>
        <w:fldChar w:fldCharType="end"/>
      </w:r>
      <w:r w:rsidRPr="00CB162E">
        <w:rPr>
          <w:rFonts w:ascii="Palatino Linotype" w:hAnsi="Palatino Linotype"/>
        </w:rPr>
        <w:t xml:space="preserve"> revealed that there were differences in self-disclosure between Acehnese culture and Malay culture, where the self-disclosure of Acehnese culture was higher than that of Malay culture.</w:t>
      </w:r>
    </w:p>
    <w:p w:rsidR="00CB162E" w:rsidRPr="00CB162E" w:rsidRDefault="00CB162E" w:rsidP="00911102">
      <w:pPr>
        <w:pStyle w:val="ListParagraph"/>
        <w:spacing w:line="240" w:lineRule="auto"/>
        <w:ind w:left="0" w:firstLine="425"/>
        <w:jc w:val="both"/>
        <w:rPr>
          <w:rFonts w:ascii="Palatino Linotype" w:hAnsi="Palatino Linotype"/>
        </w:rPr>
      </w:pPr>
      <w:r w:rsidRPr="00CB162E">
        <w:rPr>
          <w:rFonts w:ascii="Palatino Linotype" w:hAnsi="Palatino Linotype"/>
        </w:rPr>
        <w:t xml:space="preserve">Minangkabau and Batak Toba cultures are collectivistic cultures. According to the description of the results of previous studies, collectivistic cultures tend to have lower levels </w:t>
      </w:r>
      <w:r w:rsidRPr="00CB162E">
        <w:rPr>
          <w:rFonts w:ascii="Palatino Linotype" w:hAnsi="Palatino Linotype"/>
        </w:rPr>
        <w:lastRenderedPageBreak/>
        <w:t>of self-disclosure than individualistic cultures. This is because in a collectivistic culture, individuals prioritize group interests rather than personal interests, so that individuals tend to shut themselves off from telling embarrassing things that exist to themselves, their families, or the environment in which they live to others. This is done by individuals to maintain a social face and harmony in social relationships in society.</w:t>
      </w:r>
    </w:p>
    <w:p w:rsidR="00CB5618" w:rsidRDefault="00EA6928" w:rsidP="00CB162E">
      <w:pPr>
        <w:spacing w:after="120" w:line="240" w:lineRule="auto"/>
        <w:jc w:val="both"/>
        <w:rPr>
          <w:rFonts w:ascii="Palatino Linotype" w:hAnsi="Palatino Linotype" w:cs="Times New Roman"/>
          <w:b/>
          <w:sz w:val="26"/>
          <w:szCs w:val="24"/>
        </w:rPr>
      </w:pPr>
      <w:r>
        <w:rPr>
          <w:rFonts w:ascii="Palatino Linotype" w:hAnsi="Palatino Linotype" w:cs="Times New Roman"/>
          <w:b/>
          <w:sz w:val="26"/>
          <w:szCs w:val="24"/>
        </w:rPr>
        <w:t>Method</w:t>
      </w:r>
    </w:p>
    <w:p w:rsidR="005D153C" w:rsidRPr="00711FE5" w:rsidRDefault="002566C0" w:rsidP="00911102">
      <w:pPr>
        <w:spacing w:after="120" w:line="240" w:lineRule="auto"/>
        <w:ind w:firstLine="720"/>
        <w:jc w:val="both"/>
        <w:rPr>
          <w:rFonts w:ascii="Palatino Linotype" w:hAnsi="Palatino Linotype"/>
        </w:rPr>
      </w:pPr>
      <w:r>
        <w:rPr>
          <w:rFonts w:ascii="Palatino Linotype" w:hAnsi="Palatino Linotype"/>
        </w:rPr>
        <w:t>The method used in this study is a quantitative method with a comparative approach to differences in students' Self Disclosure with Minangkabau and Batak cultural backgrounds. The study population numbered 1847 students with 165 students from Minangkabau cultural backgrounds and 164 students with Batak backgrounds. Withdrawal of samples using proportional random sampling technique. The instrument used was a self-questionnaire item system questionnaire with a reliability of 0.91029. The data analysis used in this study was analysis of variance (ANOVA) using the Statistical Product and Service Solution (SPSS) version 20.0 program.</w:t>
      </w:r>
    </w:p>
    <w:p w:rsidR="00CB5618" w:rsidRDefault="0088703B" w:rsidP="00CB162E">
      <w:pPr>
        <w:tabs>
          <w:tab w:val="left" w:pos="1701"/>
        </w:tabs>
        <w:spacing w:after="120" w:line="240" w:lineRule="auto"/>
        <w:jc w:val="both"/>
        <w:rPr>
          <w:rFonts w:ascii="Palatino Linotype" w:hAnsi="Palatino Linotype" w:cs="Times New Roman"/>
          <w:b/>
          <w:sz w:val="26"/>
          <w:szCs w:val="24"/>
        </w:rPr>
      </w:pPr>
      <w:r w:rsidRPr="00947365">
        <w:rPr>
          <w:rFonts w:ascii="Palatino Linotype" w:hAnsi="Palatino Linotype" w:cs="Times New Roman"/>
          <w:b/>
          <w:sz w:val="26"/>
          <w:szCs w:val="24"/>
          <w:lang w:val="en-US"/>
        </w:rPr>
        <w:t>Results and Discussion</w:t>
      </w:r>
    </w:p>
    <w:p w:rsidR="00C273FB" w:rsidRDefault="00C273FB" w:rsidP="00911102">
      <w:pPr>
        <w:spacing w:after="0" w:line="240" w:lineRule="auto"/>
        <w:ind w:firstLine="720"/>
        <w:jc w:val="both"/>
        <w:rPr>
          <w:rFonts w:ascii="Palatino Linotype" w:hAnsi="Palatino Linotype"/>
        </w:rPr>
      </w:pPr>
      <w:r w:rsidRPr="00C273FB">
        <w:rPr>
          <w:rFonts w:ascii="Palatino Linotype" w:hAnsi="Palatino Linotype"/>
        </w:rPr>
        <w:t>The data from the self-disclosure research of students with Minangkabau and Batak cultural backgrounds. The results can be seen as follows:</w:t>
      </w:r>
    </w:p>
    <w:p w:rsidR="00A27D8F" w:rsidRDefault="00A27D8F" w:rsidP="00C273FB">
      <w:pPr>
        <w:spacing w:after="0" w:line="240" w:lineRule="auto"/>
        <w:ind w:firstLine="284"/>
        <w:jc w:val="both"/>
        <w:rPr>
          <w:rFonts w:ascii="Palatino Linotype" w:hAnsi="Palatino Linotype"/>
        </w:rPr>
      </w:pPr>
    </w:p>
    <w:p w:rsidR="00A27D8F" w:rsidRPr="00CB67FD" w:rsidRDefault="00A27D8F" w:rsidP="00CB67FD">
      <w:pPr>
        <w:spacing w:after="0" w:line="240" w:lineRule="auto"/>
        <w:jc w:val="both"/>
        <w:rPr>
          <w:rFonts w:ascii="Palatino Linotype" w:hAnsi="Palatino Linotype"/>
          <w:b/>
        </w:rPr>
      </w:pPr>
      <w:r w:rsidRPr="00CB67FD">
        <w:rPr>
          <w:rFonts w:ascii="Palatino Linotype" w:hAnsi="Palatino Linotype"/>
          <w:b/>
        </w:rPr>
        <w:t xml:space="preserve">Table 1. </w:t>
      </w:r>
      <w:r w:rsidRPr="00CB67FD">
        <w:rPr>
          <w:rFonts w:ascii="Palatino Linotype" w:hAnsi="Palatino Linotype"/>
          <w:b/>
          <w:color w:val="0D0D0D"/>
        </w:rPr>
        <w:t>Hypothesis</w:t>
      </w:r>
      <w:r w:rsidRPr="00CB67FD">
        <w:rPr>
          <w:rFonts w:ascii="Palatino Linotype" w:hAnsi="Palatino Linotype"/>
          <w:b/>
        </w:rPr>
        <w:t xml:space="preserve">Score Difference </w:t>
      </w:r>
      <w:r w:rsidRPr="00CB67FD">
        <w:rPr>
          <w:rFonts w:ascii="Palatino Linotype" w:hAnsi="Palatino Linotype"/>
          <w:b/>
          <w:color w:val="0D0D0D"/>
          <w:lang w:val="en-US"/>
        </w:rPr>
        <w:t>Self Disclosure</w:t>
      </w:r>
      <w:r w:rsidRPr="00CB67FD">
        <w:rPr>
          <w:rFonts w:ascii="Palatino Linotype" w:hAnsi="Palatino Linotype"/>
          <w:b/>
        </w:rPr>
        <w:t xml:space="preserve"> Minangkabau Students in terms of Sex</w:t>
      </w:r>
    </w:p>
    <w:tbl>
      <w:tblPr>
        <w:tblW w:w="82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05"/>
        <w:gridCol w:w="1276"/>
        <w:gridCol w:w="567"/>
        <w:gridCol w:w="691"/>
        <w:gridCol w:w="492"/>
        <w:gridCol w:w="943"/>
        <w:gridCol w:w="720"/>
        <w:gridCol w:w="1124"/>
        <w:gridCol w:w="1134"/>
      </w:tblGrid>
      <w:tr w:rsidR="00A27D8F" w:rsidRPr="00D106F6" w:rsidTr="00CB67FD">
        <w:trPr>
          <w:trHeight w:val="271"/>
        </w:trPr>
        <w:tc>
          <w:tcPr>
            <w:tcW w:w="1305" w:type="dxa"/>
            <w:shd w:val="clear" w:color="auto" w:fill="DAEEF3"/>
            <w:vAlign w:val="center"/>
          </w:tcPr>
          <w:p w:rsidR="00A27D8F" w:rsidRPr="00D106F6" w:rsidRDefault="00A27D8F" w:rsidP="008B29AB">
            <w:pPr>
              <w:pStyle w:val="Normal1"/>
              <w:spacing w:after="0" w:line="240" w:lineRule="auto"/>
              <w:ind w:left="-122" w:firstLine="65"/>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Variable</w:t>
            </w:r>
          </w:p>
        </w:tc>
        <w:tc>
          <w:tcPr>
            <w:tcW w:w="1276" w:type="dxa"/>
            <w:shd w:val="clear" w:color="auto" w:fill="DAEEF3"/>
            <w:vAlign w:val="center"/>
          </w:tcPr>
          <w:p w:rsidR="00A27D8F" w:rsidRPr="00D106F6" w:rsidRDefault="00A27D8F" w:rsidP="008B29AB">
            <w:pPr>
              <w:pStyle w:val="Normal1"/>
              <w:spacing w:after="0" w:line="240" w:lineRule="auto"/>
              <w:jc w:val="center"/>
              <w:rPr>
                <w:rFonts w:ascii="Calisto MT" w:eastAsia="Times New Roman" w:hAnsi="Calisto MT" w:cs="Times New Roman"/>
                <w:b/>
                <w:sz w:val="18"/>
                <w:szCs w:val="18"/>
                <w:lang w:val="en-US"/>
              </w:rPr>
            </w:pPr>
            <w:r w:rsidRPr="00D106F6">
              <w:rPr>
                <w:rFonts w:ascii="Calisto MT" w:eastAsia="Times New Roman" w:hAnsi="Calisto MT" w:cs="Times New Roman"/>
                <w:b/>
                <w:sz w:val="18"/>
                <w:szCs w:val="18"/>
                <w:lang w:val="en-US"/>
              </w:rPr>
              <w:t>Category</w:t>
            </w:r>
          </w:p>
        </w:tc>
        <w:tc>
          <w:tcPr>
            <w:tcW w:w="567" w:type="dxa"/>
            <w:shd w:val="clear" w:color="auto" w:fill="DAEEF3"/>
            <w:vAlign w:val="center"/>
          </w:tcPr>
          <w:p w:rsidR="00A27D8F" w:rsidRPr="00D106F6" w:rsidRDefault="00A27D8F" w:rsidP="008B29AB">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N</w:t>
            </w:r>
          </w:p>
        </w:tc>
        <w:tc>
          <w:tcPr>
            <w:tcW w:w="691" w:type="dxa"/>
            <w:shd w:val="clear" w:color="auto" w:fill="DAEEF3"/>
            <w:vAlign w:val="center"/>
          </w:tcPr>
          <w:p w:rsidR="00A27D8F" w:rsidRPr="00D106F6" w:rsidRDefault="00A27D8F" w:rsidP="008B29AB">
            <w:pPr>
              <w:pStyle w:val="Normal1"/>
              <w:spacing w:after="0" w:line="240" w:lineRule="auto"/>
              <w:jc w:val="center"/>
              <w:rPr>
                <w:rFonts w:ascii="Calisto MT" w:eastAsia="Times New Roman" w:hAnsi="Calisto MT" w:cs="Times New Roman"/>
                <w:b/>
                <w:i/>
                <w:sz w:val="18"/>
                <w:szCs w:val="18"/>
              </w:rPr>
            </w:pPr>
            <w:r w:rsidRPr="00D106F6">
              <w:rPr>
                <w:rFonts w:ascii="Calisto MT" w:eastAsia="Times New Roman" w:hAnsi="Calisto MT" w:cs="Times New Roman"/>
                <w:b/>
                <w:i/>
                <w:sz w:val="18"/>
                <w:szCs w:val="18"/>
              </w:rPr>
              <w:t>Mean</w:t>
            </w:r>
          </w:p>
        </w:tc>
        <w:tc>
          <w:tcPr>
            <w:tcW w:w="492" w:type="dxa"/>
            <w:shd w:val="clear" w:color="auto" w:fill="DAEEF3"/>
            <w:vAlign w:val="center"/>
          </w:tcPr>
          <w:p w:rsidR="00A27D8F" w:rsidRPr="00D106F6" w:rsidRDefault="00A27D8F" w:rsidP="008B29AB">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Dk</w:t>
            </w:r>
          </w:p>
        </w:tc>
        <w:tc>
          <w:tcPr>
            <w:tcW w:w="943" w:type="dxa"/>
            <w:shd w:val="clear" w:color="auto" w:fill="DAEEF3"/>
            <w:vAlign w:val="center"/>
          </w:tcPr>
          <w:p w:rsidR="00A27D8F" w:rsidRPr="00D106F6" w:rsidRDefault="00A27D8F" w:rsidP="008B29AB">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MS</w:t>
            </w:r>
          </w:p>
        </w:tc>
        <w:tc>
          <w:tcPr>
            <w:tcW w:w="720" w:type="dxa"/>
            <w:shd w:val="clear" w:color="auto" w:fill="DAEEF3"/>
            <w:vAlign w:val="center"/>
          </w:tcPr>
          <w:p w:rsidR="00A27D8F" w:rsidRPr="00D106F6" w:rsidRDefault="00A27D8F" w:rsidP="00A54EE8">
            <w:pPr>
              <w:pStyle w:val="Normal1"/>
              <w:spacing w:after="0" w:line="240" w:lineRule="auto"/>
              <w:jc w:val="center"/>
              <w:rPr>
                <w:rFonts w:ascii="Calisto MT" w:eastAsia="Cambria" w:hAnsi="Calisto MT" w:cs="Times New Roman"/>
                <w:i/>
                <w:sz w:val="18"/>
                <w:szCs w:val="18"/>
                <w:vertAlign w:val="subscript"/>
              </w:rPr>
            </w:pPr>
            <w:r w:rsidRPr="00D106F6">
              <w:rPr>
                <w:rFonts w:ascii="Calisto MT" w:eastAsia="Cambria" w:hAnsi="Calisto MT" w:cs="Times New Roman"/>
                <w:sz w:val="18"/>
                <w:szCs w:val="18"/>
              </w:rPr>
              <w:t>F</w:t>
            </w:r>
          </w:p>
        </w:tc>
        <w:tc>
          <w:tcPr>
            <w:tcW w:w="1124" w:type="dxa"/>
            <w:shd w:val="clear" w:color="auto" w:fill="DAEEF3"/>
            <w:vAlign w:val="center"/>
          </w:tcPr>
          <w:p w:rsidR="00A27D8F" w:rsidRPr="00D106F6" w:rsidRDefault="00A27D8F" w:rsidP="008B29AB">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Sig.</w:t>
            </w:r>
          </w:p>
        </w:tc>
        <w:tc>
          <w:tcPr>
            <w:tcW w:w="1134" w:type="dxa"/>
            <w:shd w:val="clear" w:color="auto" w:fill="DAEEF3"/>
            <w:vAlign w:val="center"/>
          </w:tcPr>
          <w:p w:rsidR="00A27D8F" w:rsidRPr="00D106F6" w:rsidRDefault="00A27D8F" w:rsidP="008B29AB">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Ket</w:t>
            </w:r>
          </w:p>
        </w:tc>
      </w:tr>
      <w:tr w:rsidR="00D93BEF" w:rsidRPr="00D106F6" w:rsidTr="00CB67FD">
        <w:trPr>
          <w:trHeight w:val="821"/>
        </w:trPr>
        <w:tc>
          <w:tcPr>
            <w:tcW w:w="1305" w:type="dxa"/>
            <w:vAlign w:val="center"/>
          </w:tcPr>
          <w:p w:rsidR="00D93BEF" w:rsidRPr="00D106F6" w:rsidRDefault="00D93BEF" w:rsidP="008B29AB">
            <w:pPr>
              <w:pStyle w:val="Normal1"/>
              <w:spacing w:after="0" w:line="240" w:lineRule="auto"/>
              <w:jc w:val="center"/>
              <w:rPr>
                <w:rFonts w:ascii="Calisto MT" w:eastAsia="Times New Roman" w:hAnsi="Calisto MT" w:cs="Times New Roman"/>
                <w:i/>
                <w:sz w:val="18"/>
                <w:szCs w:val="18"/>
              </w:rPr>
            </w:pPr>
            <w:r w:rsidRPr="00D106F6">
              <w:rPr>
                <w:rFonts w:ascii="Calisto MT" w:eastAsia="Times New Roman" w:hAnsi="Calisto MT" w:cs="Times New Roman"/>
                <w:i/>
                <w:color w:val="0D0D0D"/>
                <w:sz w:val="18"/>
                <w:szCs w:val="18"/>
                <w:lang w:val="en-US"/>
              </w:rPr>
              <w:t>Self Disclosure</w:t>
            </w:r>
          </w:p>
        </w:tc>
        <w:tc>
          <w:tcPr>
            <w:tcW w:w="1276" w:type="dxa"/>
            <w:vAlign w:val="center"/>
          </w:tcPr>
          <w:p w:rsidR="00D93BEF" w:rsidRPr="00D106F6" w:rsidRDefault="00D93BEF" w:rsidP="008B29AB">
            <w:pPr>
              <w:pStyle w:val="Normal1"/>
              <w:spacing w:after="0" w:line="240" w:lineRule="auto"/>
              <w:rPr>
                <w:rFonts w:ascii="Calisto MT" w:eastAsia="Times New Roman" w:hAnsi="Calisto MT" w:cs="Times New Roman"/>
                <w:sz w:val="18"/>
                <w:szCs w:val="18"/>
              </w:rPr>
            </w:pPr>
            <w:r w:rsidRPr="00D106F6">
              <w:rPr>
                <w:rFonts w:ascii="Calisto MT" w:eastAsia="Times New Roman" w:hAnsi="Calisto MT" w:cs="Times New Roman"/>
                <w:sz w:val="18"/>
                <w:szCs w:val="18"/>
              </w:rPr>
              <w:t xml:space="preserve">LK and PR </w:t>
            </w:r>
          </w:p>
          <w:p w:rsidR="00D93BEF" w:rsidRPr="00D106F6" w:rsidRDefault="00D93BEF" w:rsidP="008B29AB">
            <w:pPr>
              <w:pStyle w:val="Normal1"/>
              <w:spacing w:after="0" w:line="240" w:lineRule="auto"/>
              <w:rPr>
                <w:rFonts w:ascii="Calisto MT" w:eastAsia="Times New Roman" w:hAnsi="Calisto MT" w:cs="Times New Roman"/>
                <w:sz w:val="18"/>
                <w:szCs w:val="18"/>
              </w:rPr>
            </w:pPr>
            <w:r w:rsidRPr="00D106F6">
              <w:rPr>
                <w:rFonts w:ascii="Calisto MT" w:eastAsia="Times New Roman" w:hAnsi="Calisto MT" w:cs="Times New Roman"/>
                <w:sz w:val="18"/>
                <w:szCs w:val="18"/>
              </w:rPr>
              <w:t>Minangkabau</w:t>
            </w:r>
          </w:p>
        </w:tc>
        <w:tc>
          <w:tcPr>
            <w:tcW w:w="567" w:type="dxa"/>
            <w:vAlign w:val="center"/>
          </w:tcPr>
          <w:p w:rsidR="00D93BEF" w:rsidRDefault="00D93BEF" w:rsidP="008B29AB">
            <w:pPr>
              <w:pStyle w:val="Normal1"/>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716</w:t>
            </w:r>
          </w:p>
        </w:tc>
        <w:tc>
          <w:tcPr>
            <w:tcW w:w="691" w:type="dxa"/>
            <w:vAlign w:val="center"/>
          </w:tcPr>
          <w:p w:rsidR="00D93BEF" w:rsidRDefault="00D93BEF" w:rsidP="008B29AB">
            <w:pPr>
              <w:pStyle w:val="Normal1"/>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43.35</w:t>
            </w:r>
          </w:p>
        </w:tc>
        <w:tc>
          <w:tcPr>
            <w:tcW w:w="492" w:type="dxa"/>
            <w:vAlign w:val="center"/>
          </w:tcPr>
          <w:p w:rsidR="00D93BEF" w:rsidRDefault="00D93BEF" w:rsidP="008B29AB">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943" w:type="dxa"/>
            <w:vAlign w:val="center"/>
          </w:tcPr>
          <w:p w:rsidR="00D93BEF" w:rsidRDefault="00D93BEF" w:rsidP="008B29AB">
            <w:pPr>
              <w:pStyle w:val="Normal1"/>
              <w:widowControl w:val="0"/>
              <w:pBdr>
                <w:top w:val="nil"/>
                <w:left w:val="nil"/>
                <w:bottom w:val="nil"/>
                <w:right w:val="nil"/>
                <w:between w:val="nil"/>
              </w:pBdr>
              <w:spacing w:after="0" w:line="240" w:lineRule="auto"/>
              <w:ind w:left="-57"/>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2,873</w:t>
            </w:r>
          </w:p>
        </w:tc>
        <w:tc>
          <w:tcPr>
            <w:tcW w:w="720" w:type="dxa"/>
            <w:vAlign w:val="center"/>
          </w:tcPr>
          <w:p w:rsidR="00D93BEF" w:rsidRDefault="00D93BEF" w:rsidP="008B29AB">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0.006</w:t>
            </w:r>
          </w:p>
        </w:tc>
        <w:tc>
          <w:tcPr>
            <w:tcW w:w="1124" w:type="dxa"/>
            <w:vAlign w:val="center"/>
          </w:tcPr>
          <w:p w:rsidR="00D93BEF" w:rsidRDefault="00D93BEF" w:rsidP="008B29AB">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0.939</w:t>
            </w:r>
          </w:p>
        </w:tc>
        <w:tc>
          <w:tcPr>
            <w:tcW w:w="1134" w:type="dxa"/>
            <w:vAlign w:val="center"/>
          </w:tcPr>
          <w:p w:rsidR="00D93BEF" w:rsidRDefault="00D93BEF" w:rsidP="008B29AB">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Not significant</w:t>
            </w:r>
          </w:p>
        </w:tc>
      </w:tr>
    </w:tbl>
    <w:p w:rsidR="008E53A9" w:rsidRDefault="002F1B57" w:rsidP="008E53A9">
      <w:pPr>
        <w:pStyle w:val="Normal1"/>
        <w:pBdr>
          <w:top w:val="nil"/>
          <w:left w:val="nil"/>
          <w:bottom w:val="nil"/>
          <w:right w:val="nil"/>
          <w:between w:val="nil"/>
        </w:pBdr>
        <w:shd w:val="clear" w:color="auto" w:fill="FFFFFF"/>
        <w:tabs>
          <w:tab w:val="left" w:pos="567"/>
        </w:tabs>
        <w:spacing w:after="0" w:line="240" w:lineRule="auto"/>
        <w:jc w:val="both"/>
        <w:rPr>
          <w:rFonts w:ascii="Palatino Linotype" w:eastAsia="Times New Roman" w:hAnsi="Palatino Linotype" w:cs="Times New Roman"/>
          <w:color w:val="000000"/>
        </w:rPr>
      </w:pPr>
      <w:r>
        <w:rPr>
          <w:rFonts w:ascii="Palatino Linotype" w:eastAsiaTheme="minorHAnsi" w:hAnsi="Palatino Linotype" w:cs="Times New Roman"/>
          <w:b/>
          <w:lang w:eastAsia="en-US"/>
        </w:rPr>
        <w:tab/>
      </w:r>
      <w:r w:rsidR="00EA47C9">
        <w:rPr>
          <w:rFonts w:ascii="Palatino Linotype" w:eastAsiaTheme="minorHAnsi" w:hAnsi="Palatino Linotype" w:cs="Times New Roman"/>
          <w:lang w:eastAsia="en-US"/>
        </w:rPr>
        <w:t xml:space="preserve">Based on Table 1 shows </w:t>
      </w:r>
      <w:r w:rsidR="00654A2C">
        <w:rPr>
          <w:rFonts w:ascii="Palatino Linotype" w:eastAsia="Times New Roman" w:hAnsi="Palatino Linotype" w:cs="Times New Roman"/>
        </w:rPr>
        <w:t>The results of the statistical test for the gender category (0.939&gt; 0.05) showed that the Minangkabau students' self-disclosure was not significant in terms of gender.</w:t>
      </w:r>
      <w:r w:rsidR="00AD7FA6" w:rsidRPr="00EA47C9">
        <w:rPr>
          <w:rFonts w:ascii="Palatino Linotype" w:eastAsia="Times New Roman" w:hAnsi="Palatino Linotype" w:cs="Times New Roman"/>
          <w:color w:val="000000"/>
          <w:lang w:val="en-US"/>
        </w:rPr>
        <w:t>. This means that there is no difference in the self-disclosure of students with Minangkabau cultural backgrounds between women and men.</w:t>
      </w:r>
    </w:p>
    <w:p w:rsidR="007D6A33" w:rsidRPr="007D6A33" w:rsidRDefault="008E53A9" w:rsidP="00EA47C9">
      <w:pPr>
        <w:pStyle w:val="Normal1"/>
        <w:pBdr>
          <w:top w:val="nil"/>
          <w:left w:val="nil"/>
          <w:bottom w:val="nil"/>
          <w:right w:val="nil"/>
          <w:between w:val="nil"/>
        </w:pBdr>
        <w:shd w:val="clear" w:color="auto" w:fill="FFFFFF"/>
        <w:tabs>
          <w:tab w:val="left" w:pos="567"/>
        </w:tabs>
        <w:spacing w:after="0" w:line="240" w:lineRule="auto"/>
        <w:jc w:val="both"/>
        <w:rPr>
          <w:rFonts w:ascii="Palatino Linotype" w:eastAsia="Times New Roman" w:hAnsi="Palatino Linotype" w:cs="Times New Roman"/>
          <w:color w:val="000000"/>
        </w:rPr>
      </w:pPr>
      <w:r>
        <w:rPr>
          <w:rFonts w:ascii="Palatino Linotype" w:eastAsia="Times New Roman" w:hAnsi="Palatino Linotype" w:cs="Times New Roman"/>
          <w:color w:val="000000"/>
        </w:rPr>
        <w:tab/>
      </w:r>
    </w:p>
    <w:p w:rsidR="007D6A33" w:rsidRPr="00CB67FD" w:rsidRDefault="007D6A33" w:rsidP="007D6A33">
      <w:pPr>
        <w:spacing w:after="0" w:line="240" w:lineRule="auto"/>
        <w:jc w:val="both"/>
        <w:rPr>
          <w:rFonts w:ascii="Palatino Linotype" w:hAnsi="Palatino Linotype"/>
          <w:b/>
        </w:rPr>
      </w:pPr>
      <w:r>
        <w:rPr>
          <w:rFonts w:ascii="Palatino Linotype" w:hAnsi="Palatino Linotype"/>
          <w:b/>
        </w:rPr>
        <w:t>Table 2.</w:t>
      </w:r>
      <w:r w:rsidRPr="00CB67FD">
        <w:rPr>
          <w:rFonts w:ascii="Palatino Linotype" w:hAnsi="Palatino Linotype"/>
          <w:b/>
          <w:color w:val="0D0D0D"/>
        </w:rPr>
        <w:t>Hypothesis</w:t>
      </w:r>
      <w:r w:rsidRPr="00CB67FD">
        <w:rPr>
          <w:rFonts w:ascii="Palatino Linotype" w:hAnsi="Palatino Linotype"/>
          <w:b/>
        </w:rPr>
        <w:t xml:space="preserve">Score Difference </w:t>
      </w:r>
      <w:r w:rsidRPr="00CB67FD">
        <w:rPr>
          <w:rFonts w:ascii="Palatino Linotype" w:hAnsi="Palatino Linotype"/>
          <w:b/>
          <w:color w:val="0D0D0D"/>
          <w:lang w:val="en-US"/>
        </w:rPr>
        <w:t>Self Disclosure</w:t>
      </w:r>
      <w:r w:rsidRPr="00CB67FD">
        <w:rPr>
          <w:rFonts w:ascii="Palatino Linotype" w:hAnsi="Palatino Linotype"/>
          <w:b/>
        </w:rPr>
        <w:t xml:space="preserve"> Batak Students in terms of Sex</w:t>
      </w:r>
    </w:p>
    <w:tbl>
      <w:tblPr>
        <w:tblW w:w="82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05"/>
        <w:gridCol w:w="1276"/>
        <w:gridCol w:w="567"/>
        <w:gridCol w:w="691"/>
        <w:gridCol w:w="492"/>
        <w:gridCol w:w="943"/>
        <w:gridCol w:w="720"/>
        <w:gridCol w:w="1124"/>
        <w:gridCol w:w="1134"/>
      </w:tblGrid>
      <w:tr w:rsidR="007D6A33" w:rsidRPr="00D106F6" w:rsidTr="008B29AB">
        <w:trPr>
          <w:trHeight w:val="271"/>
        </w:trPr>
        <w:tc>
          <w:tcPr>
            <w:tcW w:w="1305" w:type="dxa"/>
            <w:shd w:val="clear" w:color="auto" w:fill="DAEEF3"/>
            <w:vAlign w:val="center"/>
          </w:tcPr>
          <w:p w:rsidR="007D6A33" w:rsidRPr="00D106F6" w:rsidRDefault="007D6A33" w:rsidP="008B29AB">
            <w:pPr>
              <w:pStyle w:val="Normal1"/>
              <w:spacing w:after="0" w:line="240" w:lineRule="auto"/>
              <w:ind w:left="-122" w:firstLine="65"/>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Variable</w:t>
            </w:r>
          </w:p>
        </w:tc>
        <w:tc>
          <w:tcPr>
            <w:tcW w:w="1276" w:type="dxa"/>
            <w:shd w:val="clear" w:color="auto" w:fill="DAEEF3"/>
            <w:vAlign w:val="center"/>
          </w:tcPr>
          <w:p w:rsidR="007D6A33" w:rsidRPr="00D106F6" w:rsidRDefault="007D6A33" w:rsidP="008B29AB">
            <w:pPr>
              <w:pStyle w:val="Normal1"/>
              <w:spacing w:after="0" w:line="240" w:lineRule="auto"/>
              <w:jc w:val="center"/>
              <w:rPr>
                <w:rFonts w:ascii="Calisto MT" w:eastAsia="Times New Roman" w:hAnsi="Calisto MT" w:cs="Times New Roman"/>
                <w:b/>
                <w:sz w:val="18"/>
                <w:szCs w:val="18"/>
                <w:lang w:val="en-US"/>
              </w:rPr>
            </w:pPr>
            <w:r w:rsidRPr="00D106F6">
              <w:rPr>
                <w:rFonts w:ascii="Calisto MT" w:eastAsia="Times New Roman" w:hAnsi="Calisto MT" w:cs="Times New Roman"/>
                <w:b/>
                <w:sz w:val="18"/>
                <w:szCs w:val="18"/>
                <w:lang w:val="en-US"/>
              </w:rPr>
              <w:t>Category</w:t>
            </w:r>
          </w:p>
        </w:tc>
        <w:tc>
          <w:tcPr>
            <w:tcW w:w="567" w:type="dxa"/>
            <w:shd w:val="clear" w:color="auto" w:fill="DAEEF3"/>
            <w:vAlign w:val="center"/>
          </w:tcPr>
          <w:p w:rsidR="007D6A33" w:rsidRPr="00D106F6" w:rsidRDefault="007D6A33" w:rsidP="008B29AB">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N</w:t>
            </w:r>
          </w:p>
        </w:tc>
        <w:tc>
          <w:tcPr>
            <w:tcW w:w="691" w:type="dxa"/>
            <w:shd w:val="clear" w:color="auto" w:fill="DAEEF3"/>
            <w:vAlign w:val="center"/>
          </w:tcPr>
          <w:p w:rsidR="007D6A33" w:rsidRPr="00D106F6" w:rsidRDefault="007D6A33" w:rsidP="008B29AB">
            <w:pPr>
              <w:pStyle w:val="Normal1"/>
              <w:spacing w:after="0" w:line="240" w:lineRule="auto"/>
              <w:jc w:val="center"/>
              <w:rPr>
                <w:rFonts w:ascii="Calisto MT" w:eastAsia="Times New Roman" w:hAnsi="Calisto MT" w:cs="Times New Roman"/>
                <w:b/>
                <w:i/>
                <w:sz w:val="18"/>
                <w:szCs w:val="18"/>
              </w:rPr>
            </w:pPr>
            <w:r w:rsidRPr="00D106F6">
              <w:rPr>
                <w:rFonts w:ascii="Calisto MT" w:eastAsia="Times New Roman" w:hAnsi="Calisto MT" w:cs="Times New Roman"/>
                <w:b/>
                <w:i/>
                <w:sz w:val="18"/>
                <w:szCs w:val="18"/>
              </w:rPr>
              <w:t>Mean</w:t>
            </w:r>
          </w:p>
        </w:tc>
        <w:tc>
          <w:tcPr>
            <w:tcW w:w="492" w:type="dxa"/>
            <w:shd w:val="clear" w:color="auto" w:fill="DAEEF3"/>
            <w:vAlign w:val="center"/>
          </w:tcPr>
          <w:p w:rsidR="007D6A33" w:rsidRPr="00D106F6" w:rsidRDefault="007D6A33" w:rsidP="008B29AB">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Dk</w:t>
            </w:r>
          </w:p>
        </w:tc>
        <w:tc>
          <w:tcPr>
            <w:tcW w:w="943" w:type="dxa"/>
            <w:shd w:val="clear" w:color="auto" w:fill="DAEEF3"/>
            <w:vAlign w:val="center"/>
          </w:tcPr>
          <w:p w:rsidR="007D6A33" w:rsidRPr="00D106F6" w:rsidRDefault="007D6A33" w:rsidP="008B29AB">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MS</w:t>
            </w:r>
          </w:p>
        </w:tc>
        <w:tc>
          <w:tcPr>
            <w:tcW w:w="720" w:type="dxa"/>
            <w:shd w:val="clear" w:color="auto" w:fill="DAEEF3"/>
            <w:vAlign w:val="center"/>
          </w:tcPr>
          <w:p w:rsidR="007D6A33" w:rsidRPr="00D106F6" w:rsidRDefault="007D6A33" w:rsidP="008B29AB">
            <w:pPr>
              <w:pStyle w:val="Normal1"/>
              <w:spacing w:after="0" w:line="240" w:lineRule="auto"/>
              <w:jc w:val="center"/>
              <w:rPr>
                <w:rFonts w:ascii="Calisto MT" w:eastAsia="Cambria" w:hAnsi="Calisto MT" w:cs="Times New Roman"/>
                <w:i/>
                <w:sz w:val="18"/>
                <w:szCs w:val="18"/>
                <w:vertAlign w:val="subscript"/>
              </w:rPr>
            </w:pPr>
            <w:r w:rsidRPr="00D106F6">
              <w:rPr>
                <w:rFonts w:ascii="Calisto MT" w:eastAsia="Cambria" w:hAnsi="Calisto MT" w:cs="Times New Roman"/>
                <w:sz w:val="18"/>
                <w:szCs w:val="18"/>
              </w:rPr>
              <w:t>Fcount</w:t>
            </w:r>
          </w:p>
        </w:tc>
        <w:tc>
          <w:tcPr>
            <w:tcW w:w="1124" w:type="dxa"/>
            <w:shd w:val="clear" w:color="auto" w:fill="DAEEF3"/>
            <w:vAlign w:val="center"/>
          </w:tcPr>
          <w:p w:rsidR="007D6A33" w:rsidRPr="00D106F6" w:rsidRDefault="007D6A33" w:rsidP="008B29AB">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Sig.</w:t>
            </w:r>
          </w:p>
        </w:tc>
        <w:tc>
          <w:tcPr>
            <w:tcW w:w="1134" w:type="dxa"/>
            <w:shd w:val="clear" w:color="auto" w:fill="DAEEF3"/>
            <w:vAlign w:val="center"/>
          </w:tcPr>
          <w:p w:rsidR="007D6A33" w:rsidRPr="00D106F6" w:rsidRDefault="007D6A33" w:rsidP="008B29AB">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Ket</w:t>
            </w:r>
          </w:p>
        </w:tc>
      </w:tr>
      <w:tr w:rsidR="00530214" w:rsidRPr="00D106F6" w:rsidTr="008B29AB">
        <w:trPr>
          <w:trHeight w:val="821"/>
        </w:trPr>
        <w:tc>
          <w:tcPr>
            <w:tcW w:w="1305" w:type="dxa"/>
            <w:vAlign w:val="center"/>
          </w:tcPr>
          <w:p w:rsidR="00530214" w:rsidRPr="00D106F6" w:rsidRDefault="00530214" w:rsidP="008B29AB">
            <w:pPr>
              <w:pStyle w:val="Normal1"/>
              <w:spacing w:after="0" w:line="240" w:lineRule="auto"/>
              <w:jc w:val="center"/>
              <w:rPr>
                <w:rFonts w:ascii="Calisto MT" w:eastAsia="Times New Roman" w:hAnsi="Calisto MT" w:cs="Times New Roman"/>
                <w:i/>
                <w:sz w:val="18"/>
                <w:szCs w:val="18"/>
              </w:rPr>
            </w:pPr>
            <w:r w:rsidRPr="00D106F6">
              <w:rPr>
                <w:rFonts w:ascii="Calisto MT" w:eastAsia="Times New Roman" w:hAnsi="Calisto MT" w:cs="Times New Roman"/>
                <w:i/>
                <w:color w:val="0D0D0D"/>
                <w:sz w:val="18"/>
                <w:szCs w:val="18"/>
                <w:lang w:val="en-US"/>
              </w:rPr>
              <w:t>Self Disclosure</w:t>
            </w:r>
          </w:p>
        </w:tc>
        <w:tc>
          <w:tcPr>
            <w:tcW w:w="1276" w:type="dxa"/>
            <w:vAlign w:val="center"/>
          </w:tcPr>
          <w:p w:rsidR="00530214" w:rsidRPr="00D106F6" w:rsidRDefault="00530214" w:rsidP="008B29AB">
            <w:pPr>
              <w:pStyle w:val="Normal1"/>
              <w:spacing w:after="0" w:line="240" w:lineRule="auto"/>
              <w:rPr>
                <w:rFonts w:ascii="Calisto MT" w:eastAsia="Times New Roman" w:hAnsi="Calisto MT" w:cs="Times New Roman"/>
                <w:sz w:val="18"/>
                <w:szCs w:val="18"/>
              </w:rPr>
            </w:pPr>
            <w:r w:rsidRPr="00D106F6">
              <w:rPr>
                <w:rFonts w:ascii="Calisto MT" w:eastAsia="Times New Roman" w:hAnsi="Calisto MT" w:cs="Times New Roman"/>
                <w:sz w:val="18"/>
                <w:szCs w:val="18"/>
              </w:rPr>
              <w:t xml:space="preserve">LK and PR </w:t>
            </w:r>
          </w:p>
          <w:p w:rsidR="00530214" w:rsidRPr="00D106F6" w:rsidRDefault="00686BA3" w:rsidP="008B29AB">
            <w:pPr>
              <w:pStyle w:val="Normal1"/>
              <w:spacing w:after="0" w:line="240" w:lineRule="auto"/>
              <w:rPr>
                <w:rFonts w:ascii="Calisto MT" w:eastAsia="Times New Roman" w:hAnsi="Calisto MT" w:cs="Times New Roman"/>
                <w:sz w:val="18"/>
                <w:szCs w:val="18"/>
              </w:rPr>
            </w:pPr>
            <w:r>
              <w:rPr>
                <w:rFonts w:ascii="Calisto MT" w:eastAsia="Times New Roman" w:hAnsi="Calisto MT" w:cs="Times New Roman"/>
                <w:sz w:val="18"/>
                <w:szCs w:val="18"/>
              </w:rPr>
              <w:t>Batak</w:t>
            </w:r>
          </w:p>
        </w:tc>
        <w:tc>
          <w:tcPr>
            <w:tcW w:w="567" w:type="dxa"/>
            <w:vAlign w:val="center"/>
          </w:tcPr>
          <w:p w:rsidR="00530214" w:rsidRDefault="00530214" w:rsidP="008B29AB">
            <w:pPr>
              <w:pStyle w:val="Normal1"/>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716</w:t>
            </w:r>
          </w:p>
        </w:tc>
        <w:tc>
          <w:tcPr>
            <w:tcW w:w="691" w:type="dxa"/>
            <w:vAlign w:val="center"/>
          </w:tcPr>
          <w:p w:rsidR="00530214" w:rsidRPr="00530214" w:rsidRDefault="00530214" w:rsidP="008B29AB">
            <w:pPr>
              <w:pStyle w:val="Normal1"/>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49.44</w:t>
            </w:r>
          </w:p>
        </w:tc>
        <w:tc>
          <w:tcPr>
            <w:tcW w:w="492" w:type="dxa"/>
            <w:vAlign w:val="center"/>
          </w:tcPr>
          <w:p w:rsidR="00530214" w:rsidRDefault="00530214" w:rsidP="008B29AB">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943" w:type="dxa"/>
            <w:vAlign w:val="center"/>
          </w:tcPr>
          <w:p w:rsidR="00530214" w:rsidRDefault="00530214" w:rsidP="008B29AB">
            <w:pPr>
              <w:pStyle w:val="Normal1"/>
              <w:widowControl w:val="0"/>
              <w:pBdr>
                <w:top w:val="nil"/>
                <w:left w:val="nil"/>
                <w:bottom w:val="nil"/>
                <w:right w:val="nil"/>
                <w:between w:val="nil"/>
              </w:pBdr>
              <w:spacing w:after="0" w:line="240" w:lineRule="auto"/>
              <w:ind w:left="-57"/>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9,407</w:t>
            </w:r>
          </w:p>
        </w:tc>
        <w:tc>
          <w:tcPr>
            <w:tcW w:w="720" w:type="dxa"/>
            <w:vAlign w:val="center"/>
          </w:tcPr>
          <w:p w:rsidR="00530214" w:rsidRDefault="00530214" w:rsidP="008B29AB">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0.021</w:t>
            </w:r>
          </w:p>
        </w:tc>
        <w:tc>
          <w:tcPr>
            <w:tcW w:w="1124" w:type="dxa"/>
            <w:vAlign w:val="center"/>
          </w:tcPr>
          <w:p w:rsidR="00530214" w:rsidRDefault="00530214" w:rsidP="008B29AB">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0.884</w:t>
            </w:r>
          </w:p>
        </w:tc>
        <w:tc>
          <w:tcPr>
            <w:tcW w:w="1134" w:type="dxa"/>
            <w:vAlign w:val="center"/>
          </w:tcPr>
          <w:p w:rsidR="00530214" w:rsidRDefault="00530214" w:rsidP="008B29AB">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Not significant</w:t>
            </w:r>
          </w:p>
        </w:tc>
      </w:tr>
    </w:tbl>
    <w:p w:rsidR="00AD7FA6" w:rsidRPr="00402807" w:rsidRDefault="002F337F" w:rsidP="00402807">
      <w:pPr>
        <w:pStyle w:val="Normal1"/>
        <w:pBdr>
          <w:top w:val="nil"/>
          <w:left w:val="nil"/>
          <w:bottom w:val="nil"/>
          <w:right w:val="nil"/>
          <w:between w:val="nil"/>
        </w:pBdr>
        <w:shd w:val="clear" w:color="auto" w:fill="FFFFFF"/>
        <w:tabs>
          <w:tab w:val="left" w:pos="567"/>
        </w:tabs>
        <w:spacing w:after="0" w:line="240" w:lineRule="auto"/>
        <w:jc w:val="both"/>
        <w:rPr>
          <w:rFonts w:ascii="Palatino Linotype" w:eastAsia="Times New Roman" w:hAnsi="Palatino Linotype" w:cs="Times New Roman"/>
          <w:color w:val="000000"/>
        </w:rPr>
      </w:pPr>
      <w:r w:rsidRPr="002F337F">
        <w:rPr>
          <w:rFonts w:ascii="Palatino Linotype" w:eastAsia="Times New Roman" w:hAnsi="Palatino Linotype" w:cs="Times New Roman"/>
          <w:lang w:val="en-US"/>
        </w:rPr>
        <w:t>The results of the statistical test in Table 2 indicate the gender category (0.884&gt; 0.05) indicates that the Batak students' self-disclosure is not significant in terms of gender.</w:t>
      </w:r>
      <w:r w:rsidRPr="002F337F">
        <w:rPr>
          <w:rFonts w:ascii="Palatino Linotype" w:eastAsia="Times New Roman" w:hAnsi="Palatino Linotype" w:cs="Times New Roman"/>
          <w:color w:val="000000"/>
          <w:lang w:val="en-US"/>
        </w:rPr>
        <w:t>. This means that there is no difference in the self-disclosure of students with Batak cultural backgrounds between men and women.</w:t>
      </w:r>
    </w:p>
    <w:p w:rsidR="007D2B6B" w:rsidRPr="00686BA3" w:rsidRDefault="007D2B6B" w:rsidP="00686BA3">
      <w:pPr>
        <w:pStyle w:val="Normal1"/>
        <w:pBdr>
          <w:top w:val="nil"/>
          <w:left w:val="nil"/>
          <w:bottom w:val="nil"/>
          <w:right w:val="nil"/>
          <w:between w:val="nil"/>
        </w:pBdr>
        <w:shd w:val="clear" w:color="auto" w:fill="FFFFFF"/>
        <w:spacing w:after="0" w:line="240" w:lineRule="auto"/>
        <w:jc w:val="both"/>
        <w:rPr>
          <w:rFonts w:ascii="Palatino Linotype" w:eastAsia="Times New Roman" w:hAnsi="Palatino Linotype" w:cs="Times New Roman"/>
          <w:color w:val="0D0D0D"/>
        </w:rPr>
      </w:pPr>
      <w:r w:rsidRPr="00686BA3">
        <w:rPr>
          <w:rFonts w:ascii="Palatino Linotype" w:hAnsi="Palatino Linotype"/>
          <w:b/>
        </w:rPr>
        <w:t xml:space="preserve">Table 3. </w:t>
      </w:r>
      <w:r w:rsidR="00686BA3" w:rsidRPr="00686BA3">
        <w:rPr>
          <w:rFonts w:ascii="Palatino Linotype" w:eastAsia="Times New Roman" w:hAnsi="Palatino Linotype" w:cs="Times New Roman"/>
          <w:b/>
          <w:color w:val="0D0D0D"/>
        </w:rPr>
        <w:t>The hypothesis of the difference in self-disclosure between male students of Minangkabau and Batak.</w:t>
      </w:r>
    </w:p>
    <w:tbl>
      <w:tblPr>
        <w:tblW w:w="82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05"/>
        <w:gridCol w:w="1276"/>
        <w:gridCol w:w="567"/>
        <w:gridCol w:w="691"/>
        <w:gridCol w:w="492"/>
        <w:gridCol w:w="943"/>
        <w:gridCol w:w="720"/>
        <w:gridCol w:w="1124"/>
        <w:gridCol w:w="1134"/>
      </w:tblGrid>
      <w:tr w:rsidR="007D2B6B" w:rsidRPr="00D106F6" w:rsidTr="008B29AB">
        <w:trPr>
          <w:trHeight w:val="271"/>
        </w:trPr>
        <w:tc>
          <w:tcPr>
            <w:tcW w:w="1305" w:type="dxa"/>
            <w:shd w:val="clear" w:color="auto" w:fill="DAEEF3"/>
            <w:vAlign w:val="center"/>
          </w:tcPr>
          <w:p w:rsidR="007D2B6B" w:rsidRPr="00D106F6" w:rsidRDefault="007D2B6B" w:rsidP="008B29AB">
            <w:pPr>
              <w:pStyle w:val="Normal1"/>
              <w:spacing w:after="0" w:line="240" w:lineRule="auto"/>
              <w:ind w:left="-122" w:firstLine="65"/>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Variable</w:t>
            </w:r>
          </w:p>
        </w:tc>
        <w:tc>
          <w:tcPr>
            <w:tcW w:w="1276" w:type="dxa"/>
            <w:shd w:val="clear" w:color="auto" w:fill="DAEEF3"/>
            <w:vAlign w:val="center"/>
          </w:tcPr>
          <w:p w:rsidR="007D2B6B" w:rsidRPr="00D106F6" w:rsidRDefault="007D2B6B" w:rsidP="008B29AB">
            <w:pPr>
              <w:pStyle w:val="Normal1"/>
              <w:spacing w:after="0" w:line="240" w:lineRule="auto"/>
              <w:jc w:val="center"/>
              <w:rPr>
                <w:rFonts w:ascii="Calisto MT" w:eastAsia="Times New Roman" w:hAnsi="Calisto MT" w:cs="Times New Roman"/>
                <w:b/>
                <w:sz w:val="18"/>
                <w:szCs w:val="18"/>
                <w:lang w:val="en-US"/>
              </w:rPr>
            </w:pPr>
            <w:r w:rsidRPr="00D106F6">
              <w:rPr>
                <w:rFonts w:ascii="Calisto MT" w:eastAsia="Times New Roman" w:hAnsi="Calisto MT" w:cs="Times New Roman"/>
                <w:b/>
                <w:sz w:val="18"/>
                <w:szCs w:val="18"/>
                <w:lang w:val="en-US"/>
              </w:rPr>
              <w:t>Category</w:t>
            </w:r>
          </w:p>
        </w:tc>
        <w:tc>
          <w:tcPr>
            <w:tcW w:w="567" w:type="dxa"/>
            <w:shd w:val="clear" w:color="auto" w:fill="DAEEF3"/>
            <w:vAlign w:val="center"/>
          </w:tcPr>
          <w:p w:rsidR="007D2B6B" w:rsidRPr="00D106F6" w:rsidRDefault="007D2B6B" w:rsidP="008B29AB">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N</w:t>
            </w:r>
          </w:p>
        </w:tc>
        <w:tc>
          <w:tcPr>
            <w:tcW w:w="691" w:type="dxa"/>
            <w:shd w:val="clear" w:color="auto" w:fill="DAEEF3"/>
            <w:vAlign w:val="center"/>
          </w:tcPr>
          <w:p w:rsidR="007D2B6B" w:rsidRPr="00D106F6" w:rsidRDefault="007D2B6B" w:rsidP="008B29AB">
            <w:pPr>
              <w:pStyle w:val="Normal1"/>
              <w:spacing w:after="0" w:line="240" w:lineRule="auto"/>
              <w:jc w:val="center"/>
              <w:rPr>
                <w:rFonts w:ascii="Calisto MT" w:eastAsia="Times New Roman" w:hAnsi="Calisto MT" w:cs="Times New Roman"/>
                <w:b/>
                <w:i/>
                <w:sz w:val="18"/>
                <w:szCs w:val="18"/>
              </w:rPr>
            </w:pPr>
            <w:r w:rsidRPr="00D106F6">
              <w:rPr>
                <w:rFonts w:ascii="Calisto MT" w:eastAsia="Times New Roman" w:hAnsi="Calisto MT" w:cs="Times New Roman"/>
                <w:b/>
                <w:i/>
                <w:sz w:val="18"/>
                <w:szCs w:val="18"/>
              </w:rPr>
              <w:t>Mean</w:t>
            </w:r>
          </w:p>
        </w:tc>
        <w:tc>
          <w:tcPr>
            <w:tcW w:w="492" w:type="dxa"/>
            <w:shd w:val="clear" w:color="auto" w:fill="DAEEF3"/>
            <w:vAlign w:val="center"/>
          </w:tcPr>
          <w:p w:rsidR="007D2B6B" w:rsidRPr="00D106F6" w:rsidRDefault="007D2B6B" w:rsidP="008B29AB">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Dk</w:t>
            </w:r>
          </w:p>
        </w:tc>
        <w:tc>
          <w:tcPr>
            <w:tcW w:w="943" w:type="dxa"/>
            <w:shd w:val="clear" w:color="auto" w:fill="DAEEF3"/>
            <w:vAlign w:val="center"/>
          </w:tcPr>
          <w:p w:rsidR="007D2B6B" w:rsidRPr="00D106F6" w:rsidRDefault="007D2B6B" w:rsidP="008B29AB">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MS</w:t>
            </w:r>
          </w:p>
        </w:tc>
        <w:tc>
          <w:tcPr>
            <w:tcW w:w="720" w:type="dxa"/>
            <w:shd w:val="clear" w:color="auto" w:fill="DAEEF3"/>
            <w:vAlign w:val="center"/>
          </w:tcPr>
          <w:p w:rsidR="007D2B6B" w:rsidRPr="00D106F6" w:rsidRDefault="007D2B6B" w:rsidP="00A54EE8">
            <w:pPr>
              <w:pStyle w:val="Normal1"/>
              <w:spacing w:after="0" w:line="240" w:lineRule="auto"/>
              <w:jc w:val="center"/>
              <w:rPr>
                <w:rFonts w:ascii="Calisto MT" w:eastAsia="Cambria" w:hAnsi="Calisto MT" w:cs="Times New Roman"/>
                <w:i/>
                <w:sz w:val="18"/>
                <w:szCs w:val="18"/>
                <w:vertAlign w:val="subscript"/>
              </w:rPr>
            </w:pPr>
            <w:r w:rsidRPr="00D106F6">
              <w:rPr>
                <w:rFonts w:ascii="Calisto MT" w:eastAsia="Cambria" w:hAnsi="Calisto MT" w:cs="Times New Roman"/>
                <w:sz w:val="18"/>
                <w:szCs w:val="18"/>
              </w:rPr>
              <w:t>F</w:t>
            </w:r>
          </w:p>
        </w:tc>
        <w:tc>
          <w:tcPr>
            <w:tcW w:w="1124" w:type="dxa"/>
            <w:shd w:val="clear" w:color="auto" w:fill="DAEEF3"/>
            <w:vAlign w:val="center"/>
          </w:tcPr>
          <w:p w:rsidR="007D2B6B" w:rsidRPr="00D106F6" w:rsidRDefault="007D2B6B" w:rsidP="008B29AB">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Sig.</w:t>
            </w:r>
          </w:p>
        </w:tc>
        <w:tc>
          <w:tcPr>
            <w:tcW w:w="1134" w:type="dxa"/>
            <w:shd w:val="clear" w:color="auto" w:fill="DAEEF3"/>
            <w:vAlign w:val="center"/>
          </w:tcPr>
          <w:p w:rsidR="007D2B6B" w:rsidRPr="00D106F6" w:rsidRDefault="007D2B6B" w:rsidP="008B29AB">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Ket</w:t>
            </w:r>
          </w:p>
        </w:tc>
      </w:tr>
      <w:tr w:rsidR="000B16B5" w:rsidRPr="00D106F6" w:rsidTr="008B29AB">
        <w:trPr>
          <w:trHeight w:val="821"/>
        </w:trPr>
        <w:tc>
          <w:tcPr>
            <w:tcW w:w="1305" w:type="dxa"/>
            <w:vAlign w:val="center"/>
          </w:tcPr>
          <w:p w:rsidR="000B16B5" w:rsidRPr="00D106F6" w:rsidRDefault="000B16B5" w:rsidP="008B29AB">
            <w:pPr>
              <w:pStyle w:val="Normal1"/>
              <w:spacing w:after="0" w:line="240" w:lineRule="auto"/>
              <w:jc w:val="center"/>
              <w:rPr>
                <w:rFonts w:ascii="Calisto MT" w:eastAsia="Times New Roman" w:hAnsi="Calisto MT" w:cs="Times New Roman"/>
                <w:i/>
                <w:sz w:val="18"/>
                <w:szCs w:val="18"/>
              </w:rPr>
            </w:pPr>
            <w:r w:rsidRPr="00D106F6">
              <w:rPr>
                <w:rFonts w:ascii="Calisto MT" w:eastAsia="Times New Roman" w:hAnsi="Calisto MT" w:cs="Times New Roman"/>
                <w:i/>
                <w:color w:val="0D0D0D"/>
                <w:sz w:val="18"/>
                <w:szCs w:val="18"/>
                <w:lang w:val="en-US"/>
              </w:rPr>
              <w:t>Self Disclosure</w:t>
            </w:r>
          </w:p>
        </w:tc>
        <w:tc>
          <w:tcPr>
            <w:tcW w:w="1276" w:type="dxa"/>
            <w:vAlign w:val="center"/>
          </w:tcPr>
          <w:p w:rsidR="000B16B5" w:rsidRPr="00D106F6" w:rsidRDefault="000B16B5" w:rsidP="008B29AB">
            <w:pPr>
              <w:pStyle w:val="Normal1"/>
              <w:spacing w:after="0" w:line="240" w:lineRule="auto"/>
              <w:rPr>
                <w:rFonts w:ascii="Calisto MT" w:eastAsia="Times New Roman" w:hAnsi="Calisto MT" w:cs="Times New Roman"/>
                <w:sz w:val="18"/>
                <w:szCs w:val="18"/>
              </w:rPr>
            </w:pPr>
            <w:r w:rsidRPr="00D106F6">
              <w:rPr>
                <w:rFonts w:ascii="Calisto MT" w:eastAsia="Times New Roman" w:hAnsi="Calisto MT" w:cs="Times New Roman"/>
                <w:sz w:val="18"/>
                <w:szCs w:val="18"/>
              </w:rPr>
              <w:t xml:space="preserve">LK </w:t>
            </w:r>
          </w:p>
          <w:p w:rsidR="000B16B5" w:rsidRPr="00D106F6" w:rsidRDefault="000B16B5" w:rsidP="008B29AB">
            <w:pPr>
              <w:pStyle w:val="Normal1"/>
              <w:spacing w:after="0" w:line="240" w:lineRule="auto"/>
              <w:rPr>
                <w:rFonts w:ascii="Calisto MT" w:eastAsia="Times New Roman" w:hAnsi="Calisto MT" w:cs="Times New Roman"/>
                <w:sz w:val="18"/>
                <w:szCs w:val="18"/>
              </w:rPr>
            </w:pPr>
            <w:r w:rsidRPr="00D106F6">
              <w:rPr>
                <w:rFonts w:ascii="Calisto MT" w:eastAsia="Times New Roman" w:hAnsi="Calisto MT" w:cs="Times New Roman"/>
                <w:sz w:val="18"/>
                <w:szCs w:val="18"/>
              </w:rPr>
              <w:t>Minangkabau and Batak</w:t>
            </w:r>
          </w:p>
        </w:tc>
        <w:tc>
          <w:tcPr>
            <w:tcW w:w="567" w:type="dxa"/>
            <w:vAlign w:val="center"/>
          </w:tcPr>
          <w:p w:rsidR="000B16B5" w:rsidRDefault="000B16B5" w:rsidP="008B29AB">
            <w:pPr>
              <w:pStyle w:val="Normal1"/>
              <w:spacing w:after="0" w:line="240" w:lineRule="auto"/>
              <w:ind w:left="-57"/>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540</w:t>
            </w:r>
          </w:p>
        </w:tc>
        <w:tc>
          <w:tcPr>
            <w:tcW w:w="691" w:type="dxa"/>
            <w:vAlign w:val="center"/>
          </w:tcPr>
          <w:p w:rsidR="000B16B5" w:rsidRDefault="000B16B5" w:rsidP="008B29AB">
            <w:pPr>
              <w:pStyle w:val="Normal1"/>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46.71</w:t>
            </w:r>
          </w:p>
        </w:tc>
        <w:tc>
          <w:tcPr>
            <w:tcW w:w="492" w:type="dxa"/>
            <w:vAlign w:val="center"/>
          </w:tcPr>
          <w:p w:rsidR="000B16B5" w:rsidRDefault="000B16B5" w:rsidP="008B29AB">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943" w:type="dxa"/>
            <w:vAlign w:val="center"/>
          </w:tcPr>
          <w:p w:rsidR="000B16B5" w:rsidRDefault="000B16B5" w:rsidP="008B29AB">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5072,362</w:t>
            </w:r>
          </w:p>
        </w:tc>
        <w:tc>
          <w:tcPr>
            <w:tcW w:w="720" w:type="dxa"/>
            <w:vAlign w:val="center"/>
          </w:tcPr>
          <w:p w:rsidR="000B16B5" w:rsidRDefault="000B16B5" w:rsidP="008B29AB">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10,202</w:t>
            </w:r>
          </w:p>
        </w:tc>
        <w:tc>
          <w:tcPr>
            <w:tcW w:w="1124" w:type="dxa"/>
            <w:vAlign w:val="center"/>
          </w:tcPr>
          <w:p w:rsidR="000B16B5" w:rsidRDefault="000B16B5" w:rsidP="008B29AB">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0.001</w:t>
            </w:r>
          </w:p>
        </w:tc>
        <w:tc>
          <w:tcPr>
            <w:tcW w:w="1134" w:type="dxa"/>
            <w:vAlign w:val="center"/>
          </w:tcPr>
          <w:p w:rsidR="000B16B5" w:rsidRDefault="000B16B5" w:rsidP="008B29AB">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Significant</w:t>
            </w:r>
          </w:p>
        </w:tc>
      </w:tr>
    </w:tbl>
    <w:p w:rsidR="007D2B6B" w:rsidRDefault="008B29AB" w:rsidP="002A2DF0">
      <w:pPr>
        <w:spacing w:after="120" w:line="240" w:lineRule="auto"/>
        <w:jc w:val="both"/>
        <w:rPr>
          <w:rFonts w:ascii="Palatino Linotype" w:eastAsia="Times New Roman" w:hAnsi="Palatino Linotype" w:cs="Times New Roman"/>
        </w:rPr>
      </w:pPr>
      <w:r w:rsidRPr="008B29AB">
        <w:rPr>
          <w:rFonts w:ascii="Palatino Linotype" w:eastAsia="Times New Roman" w:hAnsi="Palatino Linotype" w:cs="Times New Roman"/>
          <w:lang w:val="en-US"/>
        </w:rPr>
        <w:lastRenderedPageBreak/>
        <w:t>The results of the statistical test in Table 3, it can be understood that the gender category (0.001 &lt;0.05) shows that there is a significance of self-disclosure between Minangkabau male students and Batak male students. The meaning is the difference in self-disclosure of students who have Minangkabau and Batak cultural backgrounds in terms of male gender.</w:t>
      </w:r>
    </w:p>
    <w:p w:rsidR="001951B4" w:rsidRPr="00686BA3" w:rsidRDefault="008E08A4" w:rsidP="001951B4">
      <w:pPr>
        <w:pStyle w:val="Normal1"/>
        <w:pBdr>
          <w:top w:val="nil"/>
          <w:left w:val="nil"/>
          <w:bottom w:val="nil"/>
          <w:right w:val="nil"/>
          <w:between w:val="nil"/>
        </w:pBdr>
        <w:shd w:val="clear" w:color="auto" w:fill="FFFFFF"/>
        <w:spacing w:after="0" w:line="240" w:lineRule="auto"/>
        <w:jc w:val="both"/>
        <w:rPr>
          <w:rFonts w:ascii="Palatino Linotype" w:eastAsia="Times New Roman" w:hAnsi="Palatino Linotype" w:cs="Times New Roman"/>
          <w:color w:val="0D0D0D"/>
        </w:rPr>
      </w:pPr>
      <w:r>
        <w:rPr>
          <w:rFonts w:ascii="Palatino Linotype" w:hAnsi="Palatino Linotype"/>
          <w:b/>
        </w:rPr>
        <w:t>Table 4.</w:t>
      </w:r>
      <w:r w:rsidR="001951B4" w:rsidRPr="00686BA3">
        <w:rPr>
          <w:rFonts w:ascii="Palatino Linotype" w:eastAsia="Times New Roman" w:hAnsi="Palatino Linotype" w:cs="Times New Roman"/>
          <w:b/>
          <w:color w:val="0D0D0D"/>
        </w:rPr>
        <w:t>The hypothesis of the difference in self-disclosure between Minangkabau and Batak female students.</w:t>
      </w:r>
    </w:p>
    <w:tbl>
      <w:tblPr>
        <w:tblW w:w="82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05"/>
        <w:gridCol w:w="1276"/>
        <w:gridCol w:w="567"/>
        <w:gridCol w:w="691"/>
        <w:gridCol w:w="492"/>
        <w:gridCol w:w="943"/>
        <w:gridCol w:w="720"/>
        <w:gridCol w:w="1124"/>
        <w:gridCol w:w="1134"/>
      </w:tblGrid>
      <w:tr w:rsidR="001951B4" w:rsidRPr="00D106F6" w:rsidTr="00586DD9">
        <w:trPr>
          <w:trHeight w:val="271"/>
        </w:trPr>
        <w:tc>
          <w:tcPr>
            <w:tcW w:w="1305" w:type="dxa"/>
            <w:shd w:val="clear" w:color="auto" w:fill="DAEEF3"/>
            <w:vAlign w:val="center"/>
          </w:tcPr>
          <w:p w:rsidR="001951B4" w:rsidRPr="00D106F6" w:rsidRDefault="001951B4" w:rsidP="00586DD9">
            <w:pPr>
              <w:pStyle w:val="Normal1"/>
              <w:spacing w:after="0" w:line="240" w:lineRule="auto"/>
              <w:ind w:left="-122" w:firstLine="65"/>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Variable</w:t>
            </w:r>
          </w:p>
        </w:tc>
        <w:tc>
          <w:tcPr>
            <w:tcW w:w="1276" w:type="dxa"/>
            <w:shd w:val="clear" w:color="auto" w:fill="DAEEF3"/>
            <w:vAlign w:val="center"/>
          </w:tcPr>
          <w:p w:rsidR="001951B4" w:rsidRPr="00D106F6" w:rsidRDefault="001951B4" w:rsidP="00586DD9">
            <w:pPr>
              <w:pStyle w:val="Normal1"/>
              <w:spacing w:after="0" w:line="240" w:lineRule="auto"/>
              <w:jc w:val="center"/>
              <w:rPr>
                <w:rFonts w:ascii="Calisto MT" w:eastAsia="Times New Roman" w:hAnsi="Calisto MT" w:cs="Times New Roman"/>
                <w:b/>
                <w:sz w:val="18"/>
                <w:szCs w:val="18"/>
                <w:lang w:val="en-US"/>
              </w:rPr>
            </w:pPr>
            <w:r w:rsidRPr="00D106F6">
              <w:rPr>
                <w:rFonts w:ascii="Calisto MT" w:eastAsia="Times New Roman" w:hAnsi="Calisto MT" w:cs="Times New Roman"/>
                <w:b/>
                <w:sz w:val="18"/>
                <w:szCs w:val="18"/>
                <w:lang w:val="en-US"/>
              </w:rPr>
              <w:t>Category</w:t>
            </w:r>
          </w:p>
        </w:tc>
        <w:tc>
          <w:tcPr>
            <w:tcW w:w="567" w:type="dxa"/>
            <w:shd w:val="clear" w:color="auto" w:fill="DAEEF3"/>
            <w:vAlign w:val="center"/>
          </w:tcPr>
          <w:p w:rsidR="001951B4" w:rsidRPr="00D106F6" w:rsidRDefault="001951B4" w:rsidP="00586DD9">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N</w:t>
            </w:r>
          </w:p>
        </w:tc>
        <w:tc>
          <w:tcPr>
            <w:tcW w:w="691" w:type="dxa"/>
            <w:shd w:val="clear" w:color="auto" w:fill="DAEEF3"/>
            <w:vAlign w:val="center"/>
          </w:tcPr>
          <w:p w:rsidR="001951B4" w:rsidRPr="00D106F6" w:rsidRDefault="001951B4" w:rsidP="00586DD9">
            <w:pPr>
              <w:pStyle w:val="Normal1"/>
              <w:spacing w:after="0" w:line="240" w:lineRule="auto"/>
              <w:jc w:val="center"/>
              <w:rPr>
                <w:rFonts w:ascii="Calisto MT" w:eastAsia="Times New Roman" w:hAnsi="Calisto MT" w:cs="Times New Roman"/>
                <w:b/>
                <w:i/>
                <w:sz w:val="18"/>
                <w:szCs w:val="18"/>
              </w:rPr>
            </w:pPr>
            <w:r w:rsidRPr="00D106F6">
              <w:rPr>
                <w:rFonts w:ascii="Calisto MT" w:eastAsia="Times New Roman" w:hAnsi="Calisto MT" w:cs="Times New Roman"/>
                <w:b/>
                <w:i/>
                <w:sz w:val="18"/>
                <w:szCs w:val="18"/>
              </w:rPr>
              <w:t>Mean</w:t>
            </w:r>
          </w:p>
        </w:tc>
        <w:tc>
          <w:tcPr>
            <w:tcW w:w="492" w:type="dxa"/>
            <w:shd w:val="clear" w:color="auto" w:fill="DAEEF3"/>
            <w:vAlign w:val="center"/>
          </w:tcPr>
          <w:p w:rsidR="001951B4" w:rsidRPr="00D106F6" w:rsidRDefault="001951B4" w:rsidP="00586DD9">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Dk</w:t>
            </w:r>
          </w:p>
        </w:tc>
        <w:tc>
          <w:tcPr>
            <w:tcW w:w="943" w:type="dxa"/>
            <w:shd w:val="clear" w:color="auto" w:fill="DAEEF3"/>
            <w:vAlign w:val="center"/>
          </w:tcPr>
          <w:p w:rsidR="001951B4" w:rsidRPr="00D106F6" w:rsidRDefault="001951B4" w:rsidP="00586DD9">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MS</w:t>
            </w:r>
          </w:p>
        </w:tc>
        <w:tc>
          <w:tcPr>
            <w:tcW w:w="720" w:type="dxa"/>
            <w:shd w:val="clear" w:color="auto" w:fill="DAEEF3"/>
            <w:vAlign w:val="center"/>
          </w:tcPr>
          <w:p w:rsidR="001951B4" w:rsidRPr="00D106F6" w:rsidRDefault="001951B4" w:rsidP="00A54EE8">
            <w:pPr>
              <w:pStyle w:val="Normal1"/>
              <w:spacing w:after="0" w:line="240" w:lineRule="auto"/>
              <w:jc w:val="center"/>
              <w:rPr>
                <w:rFonts w:ascii="Calisto MT" w:eastAsia="Cambria" w:hAnsi="Calisto MT" w:cs="Times New Roman"/>
                <w:i/>
                <w:sz w:val="18"/>
                <w:szCs w:val="18"/>
                <w:vertAlign w:val="subscript"/>
              </w:rPr>
            </w:pPr>
            <w:r w:rsidRPr="00D106F6">
              <w:rPr>
                <w:rFonts w:ascii="Calisto MT" w:eastAsia="Cambria" w:hAnsi="Calisto MT" w:cs="Times New Roman"/>
                <w:sz w:val="18"/>
                <w:szCs w:val="18"/>
              </w:rPr>
              <w:t>F</w:t>
            </w:r>
          </w:p>
        </w:tc>
        <w:tc>
          <w:tcPr>
            <w:tcW w:w="1124" w:type="dxa"/>
            <w:shd w:val="clear" w:color="auto" w:fill="DAEEF3"/>
            <w:vAlign w:val="center"/>
          </w:tcPr>
          <w:p w:rsidR="001951B4" w:rsidRPr="00D106F6" w:rsidRDefault="001951B4" w:rsidP="00586DD9">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Sig.</w:t>
            </w:r>
          </w:p>
        </w:tc>
        <w:tc>
          <w:tcPr>
            <w:tcW w:w="1134" w:type="dxa"/>
            <w:shd w:val="clear" w:color="auto" w:fill="DAEEF3"/>
            <w:vAlign w:val="center"/>
          </w:tcPr>
          <w:p w:rsidR="001951B4" w:rsidRPr="00D106F6" w:rsidRDefault="001951B4" w:rsidP="00586DD9">
            <w:pPr>
              <w:pStyle w:val="Normal1"/>
              <w:spacing w:after="0" w:line="240" w:lineRule="auto"/>
              <w:jc w:val="center"/>
              <w:rPr>
                <w:rFonts w:ascii="Calisto MT" w:eastAsia="Times New Roman" w:hAnsi="Calisto MT" w:cs="Times New Roman"/>
                <w:b/>
                <w:sz w:val="18"/>
                <w:szCs w:val="18"/>
              </w:rPr>
            </w:pPr>
            <w:r w:rsidRPr="00D106F6">
              <w:rPr>
                <w:rFonts w:ascii="Calisto MT" w:eastAsia="Times New Roman" w:hAnsi="Calisto MT" w:cs="Times New Roman"/>
                <w:b/>
                <w:sz w:val="18"/>
                <w:szCs w:val="18"/>
              </w:rPr>
              <w:t>Ket</w:t>
            </w:r>
          </w:p>
        </w:tc>
      </w:tr>
      <w:tr w:rsidR="00973697" w:rsidRPr="00D106F6" w:rsidTr="00586DD9">
        <w:trPr>
          <w:trHeight w:val="821"/>
        </w:trPr>
        <w:tc>
          <w:tcPr>
            <w:tcW w:w="1305" w:type="dxa"/>
            <w:vAlign w:val="center"/>
          </w:tcPr>
          <w:p w:rsidR="00973697" w:rsidRPr="00D106F6" w:rsidRDefault="00973697" w:rsidP="00586DD9">
            <w:pPr>
              <w:pStyle w:val="Normal1"/>
              <w:spacing w:after="0" w:line="240" w:lineRule="auto"/>
              <w:jc w:val="center"/>
              <w:rPr>
                <w:rFonts w:ascii="Calisto MT" w:eastAsia="Times New Roman" w:hAnsi="Calisto MT" w:cs="Times New Roman"/>
                <w:i/>
                <w:sz w:val="18"/>
                <w:szCs w:val="18"/>
              </w:rPr>
            </w:pPr>
            <w:r w:rsidRPr="00D106F6">
              <w:rPr>
                <w:rFonts w:ascii="Calisto MT" w:eastAsia="Times New Roman" w:hAnsi="Calisto MT" w:cs="Times New Roman"/>
                <w:i/>
                <w:color w:val="0D0D0D"/>
                <w:sz w:val="18"/>
                <w:szCs w:val="18"/>
                <w:lang w:val="en-US"/>
              </w:rPr>
              <w:t>Self Disclosure</w:t>
            </w:r>
          </w:p>
        </w:tc>
        <w:tc>
          <w:tcPr>
            <w:tcW w:w="1276" w:type="dxa"/>
            <w:vAlign w:val="center"/>
          </w:tcPr>
          <w:p w:rsidR="00973697" w:rsidRPr="00D106F6" w:rsidRDefault="00973697" w:rsidP="00586DD9">
            <w:pPr>
              <w:pStyle w:val="Normal1"/>
              <w:spacing w:after="0" w:line="240" w:lineRule="auto"/>
              <w:rPr>
                <w:rFonts w:ascii="Calisto MT" w:eastAsia="Times New Roman" w:hAnsi="Calisto MT" w:cs="Times New Roman"/>
                <w:sz w:val="18"/>
                <w:szCs w:val="18"/>
              </w:rPr>
            </w:pPr>
            <w:r>
              <w:rPr>
                <w:rFonts w:ascii="Calisto MT" w:eastAsia="Times New Roman" w:hAnsi="Calisto MT" w:cs="Times New Roman"/>
                <w:sz w:val="18"/>
                <w:szCs w:val="18"/>
              </w:rPr>
              <w:t>Homework</w:t>
            </w:r>
          </w:p>
          <w:p w:rsidR="00973697" w:rsidRPr="00D106F6" w:rsidRDefault="00973697" w:rsidP="00586DD9">
            <w:pPr>
              <w:pStyle w:val="Normal1"/>
              <w:spacing w:after="0" w:line="240" w:lineRule="auto"/>
              <w:rPr>
                <w:rFonts w:ascii="Calisto MT" w:eastAsia="Times New Roman" w:hAnsi="Calisto MT" w:cs="Times New Roman"/>
                <w:sz w:val="18"/>
                <w:szCs w:val="18"/>
              </w:rPr>
            </w:pPr>
            <w:r w:rsidRPr="00D106F6">
              <w:rPr>
                <w:rFonts w:ascii="Calisto MT" w:eastAsia="Times New Roman" w:hAnsi="Calisto MT" w:cs="Times New Roman"/>
                <w:sz w:val="18"/>
                <w:szCs w:val="18"/>
              </w:rPr>
              <w:t>Minangkabau and Batak</w:t>
            </w:r>
          </w:p>
        </w:tc>
        <w:tc>
          <w:tcPr>
            <w:tcW w:w="567" w:type="dxa"/>
            <w:vAlign w:val="center"/>
          </w:tcPr>
          <w:p w:rsidR="00973697" w:rsidRDefault="00973697" w:rsidP="00586DD9">
            <w:pPr>
              <w:pStyle w:val="Normal1"/>
              <w:spacing w:after="0" w:line="240" w:lineRule="auto"/>
              <w:ind w:left="-57"/>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912</w:t>
            </w:r>
          </w:p>
        </w:tc>
        <w:tc>
          <w:tcPr>
            <w:tcW w:w="691" w:type="dxa"/>
            <w:vAlign w:val="center"/>
          </w:tcPr>
          <w:p w:rsidR="00973697" w:rsidRDefault="00973697" w:rsidP="00586DD9">
            <w:pPr>
              <w:pStyle w:val="Normal1"/>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46.27</w:t>
            </w:r>
          </w:p>
        </w:tc>
        <w:tc>
          <w:tcPr>
            <w:tcW w:w="492" w:type="dxa"/>
            <w:vAlign w:val="center"/>
          </w:tcPr>
          <w:p w:rsidR="00973697" w:rsidRDefault="00973697" w:rsidP="00586DD9">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943" w:type="dxa"/>
            <w:vAlign w:val="center"/>
          </w:tcPr>
          <w:p w:rsidR="00973697" w:rsidRDefault="00973697" w:rsidP="00586DD9">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8327.18</w:t>
            </w:r>
          </w:p>
        </w:tc>
        <w:tc>
          <w:tcPr>
            <w:tcW w:w="720" w:type="dxa"/>
            <w:vAlign w:val="center"/>
          </w:tcPr>
          <w:p w:rsidR="00973697" w:rsidRDefault="00973697" w:rsidP="00586DD9">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18,671</w:t>
            </w:r>
          </w:p>
        </w:tc>
        <w:tc>
          <w:tcPr>
            <w:tcW w:w="1124" w:type="dxa"/>
            <w:vAlign w:val="center"/>
          </w:tcPr>
          <w:p w:rsidR="00973697" w:rsidRDefault="00973697" w:rsidP="00586DD9">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0,000</w:t>
            </w:r>
          </w:p>
        </w:tc>
        <w:tc>
          <w:tcPr>
            <w:tcW w:w="1134" w:type="dxa"/>
            <w:vAlign w:val="center"/>
          </w:tcPr>
          <w:p w:rsidR="00973697" w:rsidRDefault="00973697" w:rsidP="00586DD9">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Significant</w:t>
            </w:r>
          </w:p>
        </w:tc>
      </w:tr>
    </w:tbl>
    <w:p w:rsidR="001B7FEC" w:rsidRPr="009D5C8E" w:rsidRDefault="008F50C0" w:rsidP="009D5C8E">
      <w:pPr>
        <w:spacing w:after="120" w:line="240" w:lineRule="auto"/>
        <w:jc w:val="both"/>
        <w:rPr>
          <w:rFonts w:ascii="Palatino Linotype" w:eastAsia="Times New Roman" w:hAnsi="Palatino Linotype" w:cs="Times New Roman"/>
        </w:rPr>
      </w:pPr>
      <w:r>
        <w:rPr>
          <w:rFonts w:ascii="Palatino Linotype" w:eastAsia="Times New Roman" w:hAnsi="Palatino Linotype" w:cs="Times New Roman"/>
          <w:lang w:val="en-US"/>
        </w:rPr>
        <w:t>The results of the statistical test in Table 4 can be seen in the gender category (0.000 &lt;0.05) showing that there is a significance of self-disclosure between Minangkabau female students and Batak female students. The meaning is the difference in self-disclosure of students with Minangkabau and Batak cultural backgrounds in terms of female gender.</w:t>
      </w:r>
    </w:p>
    <w:p w:rsidR="00496995" w:rsidRPr="009D5C8E" w:rsidRDefault="001B7FEC" w:rsidP="009D5C8E">
      <w:pPr>
        <w:pStyle w:val="Normal1"/>
        <w:pBdr>
          <w:top w:val="nil"/>
          <w:left w:val="nil"/>
          <w:bottom w:val="nil"/>
          <w:right w:val="nil"/>
          <w:between w:val="nil"/>
        </w:pBdr>
        <w:shd w:val="clear" w:color="auto" w:fill="FFFFFF"/>
        <w:tabs>
          <w:tab w:val="left" w:pos="567"/>
        </w:tabs>
        <w:spacing w:after="0" w:line="240" w:lineRule="auto"/>
        <w:jc w:val="both"/>
        <w:rPr>
          <w:rFonts w:ascii="Palatino Linotype" w:eastAsia="Times New Roman" w:hAnsi="Palatino Linotype" w:cs="Times New Roman"/>
          <w:color w:val="0D0D0D"/>
        </w:rPr>
      </w:pPr>
      <w:r w:rsidRPr="009D5C8E">
        <w:rPr>
          <w:rFonts w:ascii="Palatino Linotype" w:eastAsia="Times New Roman" w:hAnsi="Palatino Linotype" w:cs="Times New Roman"/>
          <w:color w:val="0D0D0D"/>
        </w:rPr>
        <w:tab/>
      </w:r>
      <w:r w:rsidRPr="009D5C8E">
        <w:rPr>
          <w:rFonts w:ascii="Palatino Linotype" w:eastAsia="Times New Roman" w:hAnsi="Palatino Linotype" w:cs="Times New Roman"/>
          <w:color w:val="0D0D0D"/>
        </w:rPr>
        <w:tab/>
        <w:t>Berry, Poortinga, Segal &amp; Dasen (2002) explain that the ideological role of gender is a normative belief related to what each one should do. The belief that exists in society what men and women should do will influence parenting styles and other aspects of boys and girls.</w:t>
      </w:r>
    </w:p>
    <w:p w:rsidR="009D5C8E" w:rsidRDefault="00496995" w:rsidP="009D5C8E">
      <w:pPr>
        <w:pStyle w:val="Normal1"/>
        <w:pBdr>
          <w:top w:val="nil"/>
          <w:left w:val="nil"/>
          <w:bottom w:val="nil"/>
          <w:right w:val="nil"/>
          <w:between w:val="nil"/>
        </w:pBdr>
        <w:shd w:val="clear" w:color="auto" w:fill="FFFFFF"/>
        <w:tabs>
          <w:tab w:val="left" w:pos="567"/>
        </w:tabs>
        <w:spacing w:after="0" w:line="240" w:lineRule="auto"/>
        <w:jc w:val="both"/>
        <w:rPr>
          <w:rFonts w:ascii="Palatino Linotype" w:eastAsia="Times New Roman" w:hAnsi="Palatino Linotype" w:cs="Times New Roman"/>
          <w:color w:val="000000"/>
        </w:rPr>
      </w:pPr>
      <w:r w:rsidRPr="009D5C8E">
        <w:rPr>
          <w:rFonts w:ascii="Palatino Linotype" w:eastAsia="Times New Roman" w:hAnsi="Palatino Linotype" w:cs="Times New Roman"/>
          <w:color w:val="0D0D0D"/>
        </w:rPr>
        <w:tab/>
      </w:r>
      <w:r w:rsidR="009259CF" w:rsidRPr="009D5C8E">
        <w:rPr>
          <w:rFonts w:ascii="Palatino Linotype" w:eastAsia="Times New Roman" w:hAnsi="Palatino Linotype" w:cs="Times New Roman"/>
          <w:color w:val="000000"/>
        </w:rPr>
        <w:t xml:space="preserve">In the family kinship system, </w:t>
      </w:r>
      <w:r w:rsidR="009259CF" w:rsidRPr="009D5C8E">
        <w:rPr>
          <w:rFonts w:ascii="Palatino Linotype" w:eastAsia="Times New Roman" w:hAnsi="Palatino Linotype" w:cs="Times New Roman"/>
          <w:color w:val="0D0D0D"/>
        </w:rPr>
        <w:t>Minangkabau people have a matrilineal system (Loeb, 2013). Furthermore, the principle of matrilineal lineage is a principle that takes into account the kinship relationship through the female lineage only, so that every individual in society all of his mother's relatives fall within the boundaries of kinship relationships while all father's relatives are outside the boundaries of kinship relations (Koentjaraningrat, 2002). It can be understood, that the position of women is higher than men in Minangkabau society.</w:t>
      </w:r>
      <w:r w:rsidR="009259CF" w:rsidRPr="009D5C8E">
        <w:rPr>
          <w:rFonts w:ascii="Palatino Linotype" w:eastAsia="Times New Roman" w:hAnsi="Palatino Linotype" w:cs="Times New Roman"/>
          <w:color w:val="000000"/>
        </w:rPr>
        <w:t xml:space="preserve"> Therefore, it becomes the reason that there is no difference in the self-disclosure of male and female students in Minangkabau culture.</w:t>
      </w:r>
    </w:p>
    <w:p w:rsidR="00BC331A" w:rsidRPr="008677ED" w:rsidRDefault="009D5C8E" w:rsidP="00BC331A">
      <w:pPr>
        <w:pStyle w:val="Normal1"/>
        <w:pBdr>
          <w:top w:val="nil"/>
          <w:left w:val="nil"/>
          <w:bottom w:val="nil"/>
          <w:right w:val="nil"/>
          <w:between w:val="nil"/>
        </w:pBdr>
        <w:shd w:val="clear" w:color="auto" w:fill="FFFFFF"/>
        <w:tabs>
          <w:tab w:val="left" w:pos="567"/>
        </w:tabs>
        <w:spacing w:after="0" w:line="240" w:lineRule="auto"/>
        <w:jc w:val="both"/>
        <w:rPr>
          <w:rFonts w:ascii="Palatino Linotype" w:hAnsi="Palatino Linotype" w:cs="Times New Roman"/>
        </w:rPr>
      </w:pPr>
      <w:r>
        <w:rPr>
          <w:rFonts w:ascii="Palatino Linotype" w:eastAsia="Times New Roman" w:hAnsi="Palatino Linotype" w:cs="Times New Roman"/>
          <w:color w:val="000000"/>
        </w:rPr>
        <w:tab/>
      </w:r>
      <w:r w:rsidR="00496995" w:rsidRPr="009D5C8E">
        <w:rPr>
          <w:rFonts w:ascii="Palatino Linotype" w:eastAsia="Times New Roman" w:hAnsi="Palatino Linotype" w:cs="Times New Roman"/>
          <w:lang w:val="en-US"/>
        </w:rPr>
        <w:t xml:space="preserve">But the differences in self-disclosure of men and women shown in the research results, </w:t>
      </w:r>
      <w:r w:rsidR="00496995" w:rsidRPr="009D5C8E">
        <w:rPr>
          <w:rFonts w:ascii="Palatino Linotype" w:eastAsia="Times New Roman" w:hAnsi="Palatino Linotype" w:cs="Times New Roman"/>
          <w:color w:val="0D0D0D"/>
        </w:rPr>
        <w:t xml:space="preserve">said that women are more open in conveying or expressing feelings than men (Nirwana, 2012). </w:t>
      </w:r>
      <w:r w:rsidR="00496995" w:rsidRPr="009D5C8E">
        <w:rPr>
          <w:rFonts w:ascii="Palatino Linotype" w:eastAsia="Times New Roman" w:hAnsi="Palatino Linotype" w:cs="Times New Roman"/>
          <w:lang w:val="en-US"/>
        </w:rPr>
        <w:t>Women tend to be more open than men. This is because women have a more intimate, open, and emotional attitude. Women</w:t>
      </w:r>
      <w:r w:rsidR="00496995" w:rsidRPr="009D5C8E">
        <w:rPr>
          <w:rFonts w:ascii="Palatino Linotype" w:hAnsi="Palatino Linotype" w:cs="Times New Roman"/>
          <w:spacing w:val="-5"/>
          <w:w w:val="85"/>
        </w:rPr>
        <w:t>that</w:t>
      </w:r>
      <w:r w:rsidR="00496995" w:rsidRPr="009D5C8E">
        <w:rPr>
          <w:rFonts w:ascii="Palatino Linotype" w:hAnsi="Palatino Linotype" w:cs="Times New Roman"/>
        </w:rPr>
        <w:t>having a higher masculine nature tends to be closed compared to women who have a higher femininity. Likewise for men, men who tend to be masculine have a higher self-disclosure than men who are feminine (Hargie, 2011).</w:t>
      </w:r>
    </w:p>
    <w:p w:rsidR="002B1F5F" w:rsidRDefault="00BC331A" w:rsidP="002B1F5F">
      <w:pPr>
        <w:pStyle w:val="Normal1"/>
        <w:pBdr>
          <w:top w:val="nil"/>
          <w:left w:val="nil"/>
          <w:bottom w:val="nil"/>
          <w:right w:val="nil"/>
          <w:between w:val="nil"/>
        </w:pBdr>
        <w:shd w:val="clear" w:color="auto" w:fill="FFFFFF"/>
        <w:tabs>
          <w:tab w:val="left" w:pos="567"/>
        </w:tabs>
        <w:spacing w:after="0" w:line="240" w:lineRule="auto"/>
        <w:jc w:val="both"/>
        <w:rPr>
          <w:rFonts w:ascii="Palatino Linotype" w:hAnsi="Palatino Linotype" w:cs="Times New Roman"/>
        </w:rPr>
      </w:pPr>
      <w:r>
        <w:rPr>
          <w:rFonts w:ascii="Palatino Linotype" w:hAnsi="Palatino Linotype" w:cs="Times New Roman"/>
        </w:rPr>
        <w:tab/>
      </w:r>
      <w:r w:rsidR="007F7F72" w:rsidRPr="00BC331A">
        <w:rPr>
          <w:rFonts w:ascii="Palatino Linotype" w:hAnsi="Palatino Linotype" w:cs="Times New Roman"/>
          <w:lang w:val="en-US"/>
        </w:rPr>
        <w:t>Hargie (2011) suggests factors that encourage individuals to self-disclose, namely age, gender, cultural background, learning experience, and personality. Some cultures (especially those high in masculinity) see the expression of one's inner feelings as weakness. Japan, for example, considers the disclosure of personal information to be insignificant, whereas in many countries this is expected (Bennett, 2012). Self disclosure is highly influenced by culture related to values, rules, views, and attitudes towards the environment 2009).</w:t>
      </w:r>
    </w:p>
    <w:p w:rsidR="001B7FEC" w:rsidRDefault="002B1F5F" w:rsidP="001D23C5">
      <w:pPr>
        <w:pStyle w:val="Normal1"/>
        <w:pBdr>
          <w:top w:val="nil"/>
          <w:left w:val="nil"/>
          <w:bottom w:val="nil"/>
          <w:right w:val="nil"/>
          <w:between w:val="nil"/>
        </w:pBdr>
        <w:shd w:val="clear" w:color="auto" w:fill="FFFFFF"/>
        <w:tabs>
          <w:tab w:val="left" w:pos="567"/>
        </w:tabs>
        <w:spacing w:after="0" w:line="240" w:lineRule="auto"/>
        <w:jc w:val="both"/>
        <w:rPr>
          <w:rFonts w:ascii="Palatino Linotype" w:hAnsi="Palatino Linotype" w:cs="Times New Roman"/>
        </w:rPr>
      </w:pPr>
      <w:r>
        <w:rPr>
          <w:rFonts w:ascii="Palatino Linotype" w:hAnsi="Palatino Linotype" w:cs="Times New Roman"/>
        </w:rPr>
        <w:tab/>
      </w:r>
      <w:r w:rsidRPr="002B1F5F">
        <w:rPr>
          <w:rFonts w:ascii="Palatino Linotype" w:hAnsi="Palatino Linotype" w:cs="Times New Roman"/>
        </w:rPr>
        <w:t>Winnich (in Soekanto &amp; Taneko, 2007) in Batak culture describes the principle of patrilineal lineage, which means that the bearer of the name and family heritage is male. The male lineage will be passed on by boys. The genetic line would become extinct if no male were born. Inheritance law in the Toba Batak community, namely boys as heirs and girls not as heirs (Nainggolan, 2005).</w:t>
      </w:r>
    </w:p>
    <w:p w:rsidR="001D23C5" w:rsidRPr="001D23C5" w:rsidRDefault="001D23C5" w:rsidP="001D23C5">
      <w:pPr>
        <w:pStyle w:val="Normal1"/>
        <w:pBdr>
          <w:top w:val="nil"/>
          <w:left w:val="nil"/>
          <w:bottom w:val="nil"/>
          <w:right w:val="nil"/>
          <w:between w:val="nil"/>
        </w:pBdr>
        <w:shd w:val="clear" w:color="auto" w:fill="FFFFFF"/>
        <w:tabs>
          <w:tab w:val="left" w:pos="567"/>
        </w:tabs>
        <w:spacing w:after="0" w:line="240" w:lineRule="auto"/>
        <w:jc w:val="both"/>
        <w:rPr>
          <w:rFonts w:ascii="Palatino Linotype" w:hAnsi="Palatino Linotype" w:cs="Times New Roman"/>
        </w:rPr>
      </w:pPr>
    </w:p>
    <w:p w:rsidR="00A54EE8" w:rsidRDefault="00A54EE8" w:rsidP="002A2DF0">
      <w:pPr>
        <w:spacing w:after="120" w:line="240" w:lineRule="auto"/>
        <w:jc w:val="both"/>
        <w:rPr>
          <w:rFonts w:ascii="Palatino Linotype" w:hAnsi="Palatino Linotype" w:cs="Times New Roman"/>
          <w:b/>
          <w:sz w:val="26"/>
          <w:szCs w:val="24"/>
        </w:rPr>
      </w:pPr>
    </w:p>
    <w:p w:rsidR="00CB5618" w:rsidRPr="00947365" w:rsidRDefault="0088703B" w:rsidP="002A2DF0">
      <w:pPr>
        <w:spacing w:after="120" w:line="240" w:lineRule="auto"/>
        <w:jc w:val="both"/>
        <w:rPr>
          <w:rFonts w:ascii="Palatino Linotype" w:hAnsi="Palatino Linotype" w:cs="Times New Roman"/>
          <w:b/>
          <w:sz w:val="26"/>
          <w:szCs w:val="24"/>
          <w:lang w:val="en-US"/>
        </w:rPr>
      </w:pPr>
      <w:r w:rsidRPr="00947365">
        <w:rPr>
          <w:rFonts w:ascii="Palatino Linotype" w:hAnsi="Palatino Linotype" w:cs="Times New Roman"/>
          <w:b/>
          <w:sz w:val="26"/>
          <w:szCs w:val="24"/>
          <w:lang w:val="en-US"/>
        </w:rPr>
        <w:lastRenderedPageBreak/>
        <w:t>Conclusion</w:t>
      </w:r>
    </w:p>
    <w:p w:rsidR="00F45BF6" w:rsidRPr="00402807" w:rsidRDefault="00586DD9" w:rsidP="00E7535B">
      <w:pPr>
        <w:jc w:val="both"/>
        <w:rPr>
          <w:rFonts w:ascii="Palatino Linotype" w:hAnsi="Palatino Linotype"/>
        </w:rPr>
      </w:pPr>
      <w:r>
        <w:rPr>
          <w:rFonts w:ascii="Palatino Linotype" w:eastAsia="Times New Roman" w:hAnsi="Palatino Linotype" w:cs="Times New Roman"/>
          <w:color w:val="000000"/>
        </w:rPr>
        <w:t xml:space="preserve">Based on the research results that have been described above, it can be concluded that </w:t>
      </w:r>
      <w:r w:rsidRPr="00402807">
        <w:rPr>
          <w:rFonts w:ascii="Palatino Linotype" w:eastAsia="Times New Roman" w:hAnsi="Palatino Linotype" w:cs="Times New Roman"/>
          <w:color w:val="000000"/>
        </w:rPr>
        <w:t>there is no difference in the self-disclosure of students with Minangkabau cultural backgrounds between men and women. There is no difference in the self-disclosure of students with Batak cultural backgrounds between boys and girls.</w:t>
      </w:r>
      <w:r w:rsidR="006F1426" w:rsidRPr="00402807">
        <w:rPr>
          <w:rFonts w:ascii="Palatino Linotype" w:hAnsi="Palatino Linotype"/>
        </w:rPr>
        <w:t>There are differences in the self-disclosure of students with Minangkabau and Batak cultural backgrounds in terms of male gender. There are differences in students' self-disclosure with Minangkabau and Batak cultural backgrounds which are reviewed based on the gender of the women.</w:t>
      </w:r>
    </w:p>
    <w:p w:rsidR="00CB5618" w:rsidRPr="00947365" w:rsidRDefault="0088703B" w:rsidP="002A2DF0">
      <w:pPr>
        <w:spacing w:after="120" w:line="240" w:lineRule="auto"/>
        <w:jc w:val="both"/>
        <w:rPr>
          <w:rFonts w:ascii="Palatino Linotype" w:hAnsi="Palatino Linotype" w:cs="Times New Roman"/>
          <w:b/>
          <w:sz w:val="26"/>
          <w:szCs w:val="24"/>
          <w:lang w:val="en-US"/>
        </w:rPr>
      </w:pPr>
      <w:r w:rsidRPr="00947365">
        <w:rPr>
          <w:rFonts w:ascii="Palatino Linotype" w:hAnsi="Palatino Linotype" w:cs="Times New Roman"/>
          <w:b/>
          <w:sz w:val="26"/>
          <w:szCs w:val="24"/>
          <w:lang w:val="en-US"/>
        </w:rPr>
        <w:t xml:space="preserve">Acknowledgment </w:t>
      </w:r>
    </w:p>
    <w:p w:rsidR="00E7535B" w:rsidRDefault="00E7535B" w:rsidP="002A2DF0">
      <w:pPr>
        <w:spacing w:after="120" w:line="240" w:lineRule="auto"/>
        <w:jc w:val="both"/>
        <w:rPr>
          <w:rFonts w:ascii="Palatino Linotype" w:hAnsi="Palatino Linotype" w:cs="Times New Roman"/>
          <w:bCs/>
          <w:szCs w:val="20"/>
        </w:rPr>
      </w:pPr>
      <w:r>
        <w:rPr>
          <w:rFonts w:ascii="Palatino Linotype" w:hAnsi="Palatino Linotype" w:cs="Times New Roman"/>
          <w:bCs/>
          <w:szCs w:val="20"/>
        </w:rPr>
        <w:t>I would like to express my gratitude to the parties and students of SMA Negeri 1 Batusangkar and SMA Negeri 1 Balige who have helped provide information related to self-disclosure for the completion of this research.</w:t>
      </w:r>
    </w:p>
    <w:p w:rsidR="00BF0B47" w:rsidRDefault="0088703B" w:rsidP="00BF0B47">
      <w:pPr>
        <w:spacing w:after="120" w:line="240" w:lineRule="auto"/>
        <w:jc w:val="both"/>
        <w:rPr>
          <w:rFonts w:ascii="Palatino Linotype" w:hAnsi="Palatino Linotype" w:cs="Times New Roman"/>
          <w:b/>
          <w:sz w:val="26"/>
          <w:szCs w:val="24"/>
        </w:rPr>
      </w:pPr>
      <w:r w:rsidRPr="00947365">
        <w:rPr>
          <w:rFonts w:ascii="Palatino Linotype" w:hAnsi="Palatino Linotype" w:cs="Times New Roman"/>
          <w:b/>
          <w:sz w:val="26"/>
          <w:szCs w:val="24"/>
          <w:lang w:val="en-US"/>
        </w:rPr>
        <w:t>References</w:t>
      </w:r>
    </w:p>
    <w:p w:rsidR="00BF0B47" w:rsidRDefault="00BF0B47" w:rsidP="00BF0B47">
      <w:pPr>
        <w:spacing w:after="120" w:line="240" w:lineRule="auto"/>
        <w:ind w:left="426" w:hanging="426"/>
        <w:jc w:val="both"/>
        <w:rPr>
          <w:rFonts w:ascii="Palatino Linotype" w:hAnsi="Palatino Linotype" w:cs="Times New Roman"/>
          <w:b/>
          <w:sz w:val="26"/>
          <w:szCs w:val="24"/>
        </w:rPr>
      </w:pPr>
      <w:r w:rsidRPr="00BF0B47">
        <w:rPr>
          <w:rFonts w:ascii="Palatino Linotype" w:hAnsi="Palatino Linotype" w:cs="Times New Roman"/>
          <w:noProof/>
        </w:rPr>
        <w:t xml:space="preserve">Aggarwal, S., Prabhu, C. H. R. A., Anand, L. C. A., &amp; Kotwal, L. C. A. (2007). Stressful Life Events Among Adolescents: The Development of a New Measure. </w:t>
      </w:r>
      <w:r w:rsidRPr="00BF0B47">
        <w:rPr>
          <w:rFonts w:ascii="Palatino Linotype" w:hAnsi="Palatino Linotype" w:cs="Times New Roman"/>
          <w:i/>
          <w:iCs/>
          <w:noProof/>
        </w:rPr>
        <w:t>Indian Journal of Psychiatry</w:t>
      </w:r>
      <w:r w:rsidRPr="00BF0B47">
        <w:rPr>
          <w:rFonts w:ascii="Palatino Linotype" w:hAnsi="Palatino Linotype" w:cs="Times New Roman"/>
          <w:noProof/>
        </w:rPr>
        <w:t xml:space="preserve">, </w:t>
      </w:r>
      <w:r w:rsidRPr="00BF0B47">
        <w:rPr>
          <w:rFonts w:ascii="Palatino Linotype" w:hAnsi="Palatino Linotype" w:cs="Times New Roman"/>
          <w:i/>
          <w:iCs/>
          <w:noProof/>
        </w:rPr>
        <w:t>49</w:t>
      </w:r>
      <w:r w:rsidRPr="00BF0B47">
        <w:rPr>
          <w:rFonts w:ascii="Palatino Linotype" w:hAnsi="Palatino Linotype" w:cs="Times New Roman"/>
          <w:noProof/>
        </w:rPr>
        <w:t>(2), 96–102.</w:t>
      </w:r>
    </w:p>
    <w:p w:rsidR="00BF0B47" w:rsidRPr="00BF0B47" w:rsidRDefault="00BF0B47" w:rsidP="00BF0B47">
      <w:pPr>
        <w:spacing w:after="120" w:line="240" w:lineRule="auto"/>
        <w:ind w:left="426" w:hanging="426"/>
        <w:jc w:val="both"/>
        <w:rPr>
          <w:rFonts w:ascii="Palatino Linotype" w:hAnsi="Palatino Linotype" w:cs="Times New Roman"/>
          <w:b/>
          <w:sz w:val="26"/>
          <w:szCs w:val="24"/>
        </w:rPr>
      </w:pPr>
      <w:r w:rsidRPr="00BF0B47">
        <w:rPr>
          <w:rFonts w:ascii="Palatino Linotype" w:hAnsi="Palatino Linotype" w:cs="Times New Roman"/>
          <w:noProof/>
        </w:rPr>
        <w:t xml:space="preserve">Asandi, A. R., &amp; Rosyidi, H. (2010). Self Disclosure pada Remaja Pengguna Facebook. </w:t>
      </w:r>
      <w:r w:rsidRPr="00BF0B47">
        <w:rPr>
          <w:rFonts w:ascii="Palatino Linotype" w:hAnsi="Palatino Linotype" w:cs="Times New Roman"/>
          <w:i/>
          <w:iCs/>
          <w:noProof/>
        </w:rPr>
        <w:t>Jurnal Penelitian Psikologi</w:t>
      </w:r>
      <w:r w:rsidRPr="00BF0B47">
        <w:rPr>
          <w:rFonts w:ascii="Palatino Linotype" w:hAnsi="Palatino Linotype" w:cs="Times New Roman"/>
          <w:noProof/>
        </w:rPr>
        <w:t xml:space="preserve">, </w:t>
      </w:r>
      <w:r w:rsidRPr="00BF0B47">
        <w:rPr>
          <w:rFonts w:ascii="Palatino Linotype" w:hAnsi="Palatino Linotype" w:cs="Times New Roman"/>
          <w:i/>
          <w:iCs/>
          <w:noProof/>
        </w:rPr>
        <w:t>1</w:t>
      </w:r>
      <w:r w:rsidRPr="00BF0B47">
        <w:rPr>
          <w:rFonts w:ascii="Palatino Linotype" w:hAnsi="Palatino Linotype" w:cs="Times New Roman"/>
          <w:noProof/>
        </w:rPr>
        <w:t>(1).</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Allwood, M. A., Baetz, C., DeMarco, S., &amp; Bell, D. J. (2012). Depressive Symptoms, Including Lack of Future Orientation, as Mediators in the Relationship between Adverse Life Events and Delinquent Behaviors. </w:t>
      </w:r>
      <w:r w:rsidRPr="00BF0B47">
        <w:rPr>
          <w:rFonts w:ascii="Palatino Linotype" w:hAnsi="Palatino Linotype" w:cs="Times New Roman"/>
          <w:i/>
          <w:iCs/>
          <w:noProof/>
        </w:rPr>
        <w:t>Journal of Child and Adolescent Trauma</w:t>
      </w:r>
      <w:r w:rsidRPr="00BF0B47">
        <w:rPr>
          <w:rFonts w:ascii="Palatino Linotype" w:hAnsi="Palatino Linotype" w:cs="Times New Roman"/>
          <w:noProof/>
        </w:rPr>
        <w:t xml:space="preserve">, </w:t>
      </w:r>
      <w:r w:rsidRPr="00BF0B47">
        <w:rPr>
          <w:rFonts w:ascii="Palatino Linotype" w:hAnsi="Palatino Linotype" w:cs="Times New Roman"/>
          <w:i/>
          <w:iCs/>
          <w:noProof/>
        </w:rPr>
        <w:t>5</w:t>
      </w:r>
      <w:r w:rsidRPr="00BF0B47">
        <w:rPr>
          <w:rFonts w:ascii="Palatino Linotype" w:hAnsi="Palatino Linotype" w:cs="Times New Roman"/>
          <w:noProof/>
        </w:rPr>
        <w:t>(2), 114–128</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Arun, P., Garg, R., &amp; Chavan, B. S. (2017). Stress and Suicidal Ideation Among Adolescents Having Academic Difficulty. </w:t>
      </w:r>
      <w:r w:rsidRPr="00BF0B47">
        <w:rPr>
          <w:rFonts w:ascii="Palatino Linotype" w:hAnsi="Palatino Linotype" w:cs="Times New Roman"/>
          <w:i/>
          <w:iCs/>
          <w:noProof/>
        </w:rPr>
        <w:t>Industrial Psychiatry Journal</w:t>
      </w:r>
      <w:r w:rsidRPr="00BF0B47">
        <w:rPr>
          <w:rFonts w:ascii="Palatino Linotype" w:hAnsi="Palatino Linotype" w:cs="Times New Roman"/>
          <w:noProof/>
        </w:rPr>
        <w:t xml:space="preserve">, </w:t>
      </w:r>
      <w:r w:rsidRPr="00BF0B47">
        <w:rPr>
          <w:rFonts w:ascii="Palatino Linotype" w:hAnsi="Palatino Linotype" w:cs="Times New Roman"/>
          <w:i/>
          <w:iCs/>
          <w:noProof/>
        </w:rPr>
        <w:t>26</w:t>
      </w:r>
      <w:r w:rsidRPr="00BF0B47">
        <w:rPr>
          <w:rFonts w:ascii="Palatino Linotype" w:hAnsi="Palatino Linotype" w:cs="Times New Roman"/>
          <w:noProof/>
        </w:rPr>
        <w:t>(1), 64–70.</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Bennett, J. M. (2012). The Public and Private Dean Barnlund. </w:t>
      </w:r>
      <w:r w:rsidRPr="00BF0B47">
        <w:rPr>
          <w:rFonts w:ascii="Palatino Linotype" w:hAnsi="Palatino Linotype" w:cs="Times New Roman"/>
          <w:i/>
          <w:iCs/>
          <w:noProof/>
        </w:rPr>
        <w:t>International Journal of Intercultural Relations</w:t>
      </w:r>
      <w:r w:rsidRPr="00BF0B47">
        <w:rPr>
          <w:rFonts w:ascii="Palatino Linotype" w:hAnsi="Palatino Linotype" w:cs="Times New Roman"/>
          <w:noProof/>
        </w:rPr>
        <w:t xml:space="preserve">, </w:t>
      </w:r>
      <w:r w:rsidRPr="00BF0B47">
        <w:rPr>
          <w:rFonts w:ascii="Palatino Linotype" w:hAnsi="Palatino Linotype" w:cs="Times New Roman"/>
          <w:i/>
          <w:iCs/>
          <w:noProof/>
        </w:rPr>
        <w:t>36</w:t>
      </w:r>
      <w:r w:rsidRPr="00BF0B47">
        <w:rPr>
          <w:rFonts w:ascii="Palatino Linotype" w:hAnsi="Palatino Linotype" w:cs="Times New Roman"/>
          <w:noProof/>
        </w:rPr>
        <w:t xml:space="preserve">(6), 780–788. </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Berry-cyprian, D., Nelson, R., &amp; Yang, B. (2017). Self-Disclosure, Culture &amp; Situational Influence: An Analysis of Interracial Interaction. </w:t>
      </w:r>
      <w:r w:rsidRPr="00BF0B47">
        <w:rPr>
          <w:rFonts w:ascii="Palatino Linotype" w:hAnsi="Palatino Linotype" w:cs="Times New Roman"/>
          <w:i/>
          <w:iCs/>
          <w:noProof/>
        </w:rPr>
        <w:t>Concordia Journal of Communication Research</w:t>
      </w:r>
      <w:r w:rsidRPr="00BF0B47">
        <w:rPr>
          <w:rFonts w:ascii="Palatino Linotype" w:hAnsi="Palatino Linotype" w:cs="Times New Roman"/>
          <w:noProof/>
        </w:rPr>
        <w:t>, 1–26.</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Chalidaziah, W. (2018). </w:t>
      </w:r>
      <w:r w:rsidRPr="00BF0B47">
        <w:rPr>
          <w:rFonts w:ascii="Palatino Linotype" w:hAnsi="Palatino Linotype" w:cs="Times New Roman"/>
          <w:i/>
          <w:iCs/>
          <w:noProof/>
        </w:rPr>
        <w:t>Self Disclosure Mahasiswa (Kajian dalam Budaya Aceh dan Melayu)</w:t>
      </w:r>
      <w:r w:rsidRPr="00BF0B47">
        <w:rPr>
          <w:rFonts w:ascii="Palatino Linotype" w:hAnsi="Palatino Linotype" w:cs="Times New Roman"/>
          <w:noProof/>
        </w:rPr>
        <w:t>. Tesis tidak diterbitkan. Program S2 Bimbingan dan Konseling. Universitas Negeri Padang.</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Croucher, S. M., Faulkner, S. L., Oommen, D., &amp; Long, B. (2010). Demographic and Religious Differences in The Dimensions of Self-Disclosure Among Hindus and Muslims in India. </w:t>
      </w:r>
      <w:r w:rsidRPr="00BF0B47">
        <w:rPr>
          <w:rFonts w:ascii="Palatino Linotype" w:hAnsi="Palatino Linotype" w:cs="Times New Roman"/>
          <w:i/>
          <w:iCs/>
          <w:noProof/>
        </w:rPr>
        <w:t>Journal of Intercultural Communication Research</w:t>
      </w:r>
      <w:r w:rsidRPr="00BF0B47">
        <w:rPr>
          <w:rFonts w:ascii="Palatino Linotype" w:hAnsi="Palatino Linotype" w:cs="Times New Roman"/>
          <w:noProof/>
        </w:rPr>
        <w:t xml:space="preserve">, </w:t>
      </w:r>
      <w:r w:rsidRPr="00BF0B47">
        <w:rPr>
          <w:rFonts w:ascii="Palatino Linotype" w:hAnsi="Palatino Linotype" w:cs="Times New Roman"/>
          <w:i/>
          <w:iCs/>
          <w:noProof/>
        </w:rPr>
        <w:t>39</w:t>
      </w:r>
      <w:r w:rsidRPr="00BF0B47">
        <w:rPr>
          <w:rFonts w:ascii="Palatino Linotype" w:hAnsi="Palatino Linotype" w:cs="Times New Roman"/>
          <w:noProof/>
        </w:rPr>
        <w:t xml:space="preserve">(1), 29–48. </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Derlega, V. J., &amp; Berg, J. H. (1987). </w:t>
      </w:r>
      <w:r w:rsidRPr="00BF0B47">
        <w:rPr>
          <w:rFonts w:ascii="Palatino Linotype" w:hAnsi="Palatino Linotype" w:cs="Times New Roman"/>
          <w:i/>
          <w:iCs/>
          <w:noProof/>
        </w:rPr>
        <w:t>Self Disclosure: Theory, Research, and Therapy</w:t>
      </w:r>
      <w:r w:rsidRPr="00BF0B47">
        <w:rPr>
          <w:rFonts w:ascii="Palatino Linotype" w:hAnsi="Palatino Linotype" w:cs="Times New Roman"/>
          <w:noProof/>
        </w:rPr>
        <w:t xml:space="preserve">. New York: Plenum Press. </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Espejo, E. P., Hammen, C., &amp; Brennan, P. A. (2012). Elevated Appraisals of the Negative </w:t>
      </w:r>
      <w:r w:rsidRPr="00BF0B47">
        <w:rPr>
          <w:rFonts w:ascii="Palatino Linotype" w:hAnsi="Palatino Linotype" w:cs="Times New Roman"/>
          <w:noProof/>
        </w:rPr>
        <w:lastRenderedPageBreak/>
        <w:t xml:space="preserve">Impact of Naturally Occurring Life Events: A Risk Factor for Depressive and Anxiety Disorders. </w:t>
      </w:r>
      <w:r w:rsidRPr="00BF0B47">
        <w:rPr>
          <w:rFonts w:ascii="Palatino Linotype" w:hAnsi="Palatino Linotype" w:cs="Times New Roman"/>
          <w:i/>
          <w:iCs/>
          <w:noProof/>
        </w:rPr>
        <w:t>Journal of Abnormal Child Psychology</w:t>
      </w:r>
      <w:r w:rsidRPr="00BF0B47">
        <w:rPr>
          <w:rFonts w:ascii="Palatino Linotype" w:hAnsi="Palatino Linotype" w:cs="Times New Roman"/>
          <w:noProof/>
        </w:rPr>
        <w:t xml:space="preserve">, </w:t>
      </w:r>
      <w:r w:rsidRPr="00BF0B47">
        <w:rPr>
          <w:rFonts w:ascii="Palatino Linotype" w:hAnsi="Palatino Linotype" w:cs="Times New Roman"/>
          <w:i/>
          <w:iCs/>
          <w:noProof/>
        </w:rPr>
        <w:t>40</w:t>
      </w:r>
      <w:r w:rsidRPr="00BF0B47">
        <w:rPr>
          <w:rFonts w:ascii="Palatino Linotype" w:hAnsi="Palatino Linotype" w:cs="Times New Roman"/>
          <w:noProof/>
        </w:rPr>
        <w:t>(2), 303–315.</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Gainau, M. B. (2009). Keterbukaan Diri (Self Disclosure) Siswa dalam Perspektif Budaya dan Implikasinya Bagi Konseling. </w:t>
      </w:r>
      <w:r w:rsidRPr="00BF0B47">
        <w:rPr>
          <w:rFonts w:ascii="Palatino Linotype" w:hAnsi="Palatino Linotype" w:cs="Times New Roman"/>
          <w:i/>
          <w:iCs/>
          <w:noProof/>
        </w:rPr>
        <w:t>Jurnal Ilmiah Ilmu Pendidikan</w:t>
      </w:r>
      <w:r w:rsidRPr="00BF0B47">
        <w:rPr>
          <w:rFonts w:ascii="Palatino Linotype" w:hAnsi="Palatino Linotype" w:cs="Times New Roman"/>
          <w:noProof/>
        </w:rPr>
        <w:t xml:space="preserve">, </w:t>
      </w:r>
      <w:r w:rsidRPr="00BF0B47">
        <w:rPr>
          <w:rFonts w:ascii="Palatino Linotype" w:hAnsi="Palatino Linotype" w:cs="Times New Roman"/>
          <w:i/>
          <w:iCs/>
          <w:noProof/>
        </w:rPr>
        <w:t>3</w:t>
      </w:r>
      <w:r w:rsidRPr="00BF0B47">
        <w:rPr>
          <w:rFonts w:ascii="Palatino Linotype" w:hAnsi="Palatino Linotype" w:cs="Times New Roman"/>
          <w:noProof/>
        </w:rPr>
        <w:t>(1), 1–18.</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Hazen, E., Schlozman, S. C., &amp; Beresin, E. V. (2008). Adolescent Psychological Development: A Review. </w:t>
      </w:r>
      <w:r w:rsidRPr="00BF0B47">
        <w:rPr>
          <w:rFonts w:ascii="Palatino Linotype" w:hAnsi="Palatino Linotype" w:cs="Times New Roman"/>
          <w:i/>
          <w:iCs/>
          <w:noProof/>
        </w:rPr>
        <w:t>Pediatrics in Review</w:t>
      </w:r>
      <w:r w:rsidRPr="00BF0B47">
        <w:rPr>
          <w:rFonts w:ascii="Palatino Linotype" w:hAnsi="Palatino Linotype" w:cs="Times New Roman"/>
          <w:noProof/>
        </w:rPr>
        <w:t xml:space="preserve">, </w:t>
      </w:r>
      <w:r w:rsidRPr="00BF0B47">
        <w:rPr>
          <w:rFonts w:ascii="Palatino Linotype" w:hAnsi="Palatino Linotype" w:cs="Times New Roman"/>
          <w:i/>
          <w:iCs/>
          <w:noProof/>
        </w:rPr>
        <w:t>29</w:t>
      </w:r>
      <w:r w:rsidRPr="00BF0B47">
        <w:rPr>
          <w:rFonts w:ascii="Palatino Linotype" w:hAnsi="Palatino Linotype" w:cs="Times New Roman"/>
          <w:noProof/>
        </w:rPr>
        <w:t>(5), 161–168.</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Hargie, O. D. W., Tourish, D., &amp; Curtis, L. (2001). Gender, Religion, and Adolescent Patterns of Self-Disclosure in The Divided Society of Northern Ireland. </w:t>
      </w:r>
      <w:r w:rsidRPr="00BF0B47">
        <w:rPr>
          <w:rFonts w:ascii="Palatino Linotype" w:hAnsi="Palatino Linotype" w:cs="Times New Roman"/>
          <w:i/>
          <w:iCs/>
          <w:noProof/>
        </w:rPr>
        <w:t>Adolescence</w:t>
      </w:r>
      <w:r w:rsidRPr="00BF0B47">
        <w:rPr>
          <w:rFonts w:ascii="Palatino Linotype" w:hAnsi="Palatino Linotype" w:cs="Times New Roman"/>
          <w:noProof/>
        </w:rPr>
        <w:t xml:space="preserve">, </w:t>
      </w:r>
      <w:r w:rsidRPr="00BF0B47">
        <w:rPr>
          <w:rFonts w:ascii="Palatino Linotype" w:hAnsi="Palatino Linotype" w:cs="Times New Roman"/>
          <w:i/>
          <w:iCs/>
          <w:noProof/>
        </w:rPr>
        <w:t>36</w:t>
      </w:r>
      <w:r w:rsidRPr="00BF0B47">
        <w:rPr>
          <w:rFonts w:ascii="Palatino Linotype" w:hAnsi="Palatino Linotype" w:cs="Times New Roman"/>
          <w:noProof/>
        </w:rPr>
        <w:t xml:space="preserve">(144), 665–679. </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Howe, N., Aquan-Assee, J., Bukowski, W. M., Lehoux, P. M., &amp; Rinaldi, C. M. (2001). Siblings as Confidants: Emotional Understanding, Relationship Warmth, and Sibling Self-Disclosure. </w:t>
      </w:r>
      <w:r w:rsidRPr="00BF0B47">
        <w:rPr>
          <w:rFonts w:ascii="Palatino Linotype" w:hAnsi="Palatino Linotype" w:cs="Times New Roman"/>
          <w:i/>
          <w:iCs/>
          <w:noProof/>
        </w:rPr>
        <w:t>Social Development</w:t>
      </w:r>
      <w:r w:rsidRPr="00BF0B47">
        <w:rPr>
          <w:rFonts w:ascii="Palatino Linotype" w:hAnsi="Palatino Linotype" w:cs="Times New Roman"/>
          <w:noProof/>
        </w:rPr>
        <w:t xml:space="preserve">, </w:t>
      </w:r>
      <w:r w:rsidRPr="00BF0B47">
        <w:rPr>
          <w:rFonts w:ascii="Palatino Linotype" w:hAnsi="Palatino Linotype" w:cs="Times New Roman"/>
          <w:i/>
          <w:iCs/>
          <w:noProof/>
        </w:rPr>
        <w:t>10</w:t>
      </w:r>
      <w:r w:rsidRPr="00BF0B47">
        <w:rPr>
          <w:rFonts w:ascii="Palatino Linotype" w:hAnsi="Palatino Linotype" w:cs="Times New Roman"/>
          <w:noProof/>
        </w:rPr>
        <w:t>(4), 439–454.</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Ignatius, E., &amp; Kokkonen, M. (2007). Factors Contributing to Verbal Self-Disclosure. </w:t>
      </w:r>
      <w:r w:rsidRPr="00BF0B47">
        <w:rPr>
          <w:rFonts w:ascii="Palatino Linotype" w:hAnsi="Palatino Linotype" w:cs="Times New Roman"/>
          <w:i/>
          <w:iCs/>
          <w:noProof/>
        </w:rPr>
        <w:t>Nordic Psychology</w:t>
      </w:r>
      <w:r w:rsidRPr="00BF0B47">
        <w:rPr>
          <w:rFonts w:ascii="Palatino Linotype" w:hAnsi="Palatino Linotype" w:cs="Times New Roman"/>
          <w:noProof/>
        </w:rPr>
        <w:t xml:space="preserve">, </w:t>
      </w:r>
      <w:r w:rsidRPr="00BF0B47">
        <w:rPr>
          <w:rFonts w:ascii="Palatino Linotype" w:hAnsi="Palatino Linotype" w:cs="Times New Roman"/>
          <w:i/>
          <w:iCs/>
          <w:noProof/>
        </w:rPr>
        <w:t>59</w:t>
      </w:r>
      <w:r w:rsidRPr="00BF0B47">
        <w:rPr>
          <w:rFonts w:ascii="Palatino Linotype" w:hAnsi="Palatino Linotype" w:cs="Times New Roman"/>
          <w:noProof/>
        </w:rPr>
        <w:t>(4), 362–391.</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Johnson, D. P., Whisman, M. A., Corley, R. P., Hewitt, J. K., &amp; Rhee, S. H. (2012). Association Between Depressive Symptoms and Negative Dependent Life Events from Late Childhood to Adolescence. </w:t>
      </w:r>
      <w:r w:rsidRPr="00BF0B47">
        <w:rPr>
          <w:rFonts w:ascii="Palatino Linotype" w:hAnsi="Palatino Linotype" w:cs="Times New Roman"/>
          <w:i/>
          <w:iCs/>
          <w:noProof/>
        </w:rPr>
        <w:t>Journal of Abnormal Child Psychology</w:t>
      </w:r>
      <w:r w:rsidRPr="00BF0B47">
        <w:rPr>
          <w:rFonts w:ascii="Palatino Linotype" w:hAnsi="Palatino Linotype" w:cs="Times New Roman"/>
          <w:noProof/>
        </w:rPr>
        <w:t xml:space="preserve">, </w:t>
      </w:r>
      <w:r w:rsidRPr="00BF0B47">
        <w:rPr>
          <w:rFonts w:ascii="Palatino Linotype" w:hAnsi="Palatino Linotype" w:cs="Times New Roman"/>
          <w:i/>
          <w:iCs/>
          <w:noProof/>
        </w:rPr>
        <w:t>40</w:t>
      </w:r>
      <w:r w:rsidRPr="00BF0B47">
        <w:rPr>
          <w:rFonts w:ascii="Palatino Linotype" w:hAnsi="Palatino Linotype" w:cs="Times New Roman"/>
          <w:noProof/>
        </w:rPr>
        <w:t>(8), 1385–1400.</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Jourard, S. M. (1979). </w:t>
      </w:r>
      <w:r w:rsidRPr="00BF0B47">
        <w:rPr>
          <w:rFonts w:ascii="Palatino Linotype" w:hAnsi="Palatino Linotype" w:cs="Times New Roman"/>
          <w:i/>
          <w:iCs/>
          <w:noProof/>
        </w:rPr>
        <w:t>Self Disclosure: An Experimental Analysis of the Transparent Self</w:t>
      </w:r>
      <w:r w:rsidRPr="00BF0B47">
        <w:rPr>
          <w:rFonts w:ascii="Palatino Linotype" w:hAnsi="Palatino Linotype" w:cs="Times New Roman"/>
          <w:noProof/>
        </w:rPr>
        <w:t>. New York: Wiley-Interscience, Inc.</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Kahn, J. H., &amp; Hessling, R. M. (2001). Measuring The Tendency to Conceal Versus Disclose Psychological Distress. </w:t>
      </w:r>
      <w:r w:rsidRPr="00BF0B47">
        <w:rPr>
          <w:rFonts w:ascii="Palatino Linotype" w:hAnsi="Palatino Linotype" w:cs="Times New Roman"/>
          <w:i/>
          <w:iCs/>
          <w:noProof/>
        </w:rPr>
        <w:t>Journal of Social and Clinical Psychology</w:t>
      </w:r>
      <w:r w:rsidRPr="00BF0B47">
        <w:rPr>
          <w:rFonts w:ascii="Palatino Linotype" w:hAnsi="Palatino Linotype" w:cs="Times New Roman"/>
          <w:noProof/>
        </w:rPr>
        <w:t xml:space="preserve">, </w:t>
      </w:r>
      <w:r w:rsidRPr="00BF0B47">
        <w:rPr>
          <w:rFonts w:ascii="Palatino Linotype" w:hAnsi="Palatino Linotype" w:cs="Times New Roman"/>
          <w:i/>
          <w:iCs/>
          <w:noProof/>
        </w:rPr>
        <w:t>20</w:t>
      </w:r>
      <w:r w:rsidRPr="00BF0B47">
        <w:rPr>
          <w:rFonts w:ascii="Palatino Linotype" w:hAnsi="Palatino Linotype" w:cs="Times New Roman"/>
          <w:noProof/>
        </w:rPr>
        <w:t xml:space="preserve">(1), 41–65. </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Koentjaraningrat. (2002). </w:t>
      </w:r>
      <w:r w:rsidRPr="00BF0B47">
        <w:rPr>
          <w:rFonts w:ascii="Palatino Linotype" w:hAnsi="Palatino Linotype" w:cs="Times New Roman"/>
          <w:i/>
          <w:iCs/>
          <w:noProof/>
        </w:rPr>
        <w:t>Pengantar Antropologi II: Pokok-pokok Etnografi</w:t>
      </w:r>
      <w:r w:rsidRPr="00BF0B47">
        <w:rPr>
          <w:rFonts w:ascii="Palatino Linotype" w:hAnsi="Palatino Linotype" w:cs="Times New Roman"/>
          <w:noProof/>
        </w:rPr>
        <w:t>. Jakarta: Rineka Cipta.</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Ievers-Landis, C. E., Greenley, R. N., Burant, C., &amp; Borawski, E. (2006). Cognitive Social Maturity, Life Change Events, and Health Risk Behaviors Among Adolescents: Development of a Structural Equation Model. </w:t>
      </w:r>
      <w:r w:rsidRPr="00BF0B47">
        <w:rPr>
          <w:rFonts w:ascii="Palatino Linotype" w:hAnsi="Palatino Linotype" w:cs="Times New Roman"/>
          <w:i/>
          <w:iCs/>
          <w:noProof/>
        </w:rPr>
        <w:t>Journal of Clinical Psychology in Medical Settings</w:t>
      </w:r>
      <w:r w:rsidRPr="00BF0B47">
        <w:rPr>
          <w:rFonts w:ascii="Palatino Linotype" w:hAnsi="Palatino Linotype" w:cs="Times New Roman"/>
          <w:noProof/>
        </w:rPr>
        <w:t xml:space="preserve">, </w:t>
      </w:r>
      <w:r w:rsidRPr="00BF0B47">
        <w:rPr>
          <w:rFonts w:ascii="Palatino Linotype" w:hAnsi="Palatino Linotype" w:cs="Times New Roman"/>
          <w:i/>
          <w:iCs/>
          <w:noProof/>
        </w:rPr>
        <w:t>13</w:t>
      </w:r>
      <w:r w:rsidRPr="00BF0B47">
        <w:rPr>
          <w:rFonts w:ascii="Palatino Linotype" w:hAnsi="Palatino Linotype" w:cs="Times New Roman"/>
          <w:noProof/>
        </w:rPr>
        <w:t>(2), 107–116</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Loeb, E. M. (2013). </w:t>
      </w:r>
      <w:r w:rsidRPr="00BF0B47">
        <w:rPr>
          <w:rFonts w:ascii="Palatino Linotype" w:hAnsi="Palatino Linotype" w:cs="Times New Roman"/>
          <w:i/>
          <w:iCs/>
          <w:noProof/>
        </w:rPr>
        <w:t>Sumatera: Sejarah dan Masyarakatnya</w:t>
      </w:r>
      <w:r w:rsidRPr="00BF0B47">
        <w:rPr>
          <w:rFonts w:ascii="Palatino Linotype" w:hAnsi="Palatino Linotype" w:cs="Times New Roman"/>
          <w:noProof/>
        </w:rPr>
        <w:t>. Yogyakarta:  Ombak.</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Monks, F. J. (2006). </w:t>
      </w:r>
      <w:r w:rsidRPr="00BF0B47">
        <w:rPr>
          <w:rFonts w:ascii="Palatino Linotype" w:hAnsi="Palatino Linotype" w:cs="Times New Roman"/>
          <w:i/>
          <w:iCs/>
          <w:noProof/>
        </w:rPr>
        <w:t>Psikologi Perkembangan: Pengantar dalam Berbagai Bagian</w:t>
      </w:r>
      <w:r w:rsidRPr="00BF0B47">
        <w:rPr>
          <w:rFonts w:ascii="Palatino Linotype" w:hAnsi="Palatino Linotype" w:cs="Times New Roman"/>
          <w:noProof/>
        </w:rPr>
        <w:t>. Alih Bahasa Siti Rahayu Haditono. Yogyakarta: Gajah Mada University Press.</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Nainggolan, T. E. S. (2005). </w:t>
      </w:r>
      <w:r w:rsidRPr="00BF0B47">
        <w:rPr>
          <w:rFonts w:ascii="Palatino Linotype" w:hAnsi="Palatino Linotype" w:cs="Times New Roman"/>
          <w:i/>
          <w:iCs/>
          <w:noProof/>
        </w:rPr>
        <w:t>Kedudukan Anak Perempuan dalam Hukum Waris Adat pada Masyarakat Batak Toba</w:t>
      </w:r>
      <w:r w:rsidRPr="00BF0B47">
        <w:rPr>
          <w:rFonts w:ascii="Palatino Linotype" w:hAnsi="Palatino Linotype" w:cs="Times New Roman"/>
          <w:noProof/>
        </w:rPr>
        <w:t>. Tesis tidak diterbitkan. Semarang: Universitas Diponegoro.</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Nirwana, H. (2012). Pengungkapan Diri Siswa Sekolah Menengah dan Implikasinya Bagi Konseling. </w:t>
      </w:r>
      <w:r w:rsidRPr="00BF0B47">
        <w:rPr>
          <w:rFonts w:ascii="Palatino Linotype" w:hAnsi="Palatino Linotype" w:cs="Times New Roman"/>
          <w:i/>
          <w:iCs/>
          <w:noProof/>
        </w:rPr>
        <w:t>Jurnal Ilmu Pendidikan</w:t>
      </w:r>
      <w:r w:rsidRPr="00BF0B47">
        <w:rPr>
          <w:rFonts w:ascii="Palatino Linotype" w:hAnsi="Palatino Linotype" w:cs="Times New Roman"/>
          <w:noProof/>
        </w:rPr>
        <w:t xml:space="preserve">, </w:t>
      </w:r>
      <w:r w:rsidRPr="00BF0B47">
        <w:rPr>
          <w:rFonts w:ascii="Palatino Linotype" w:hAnsi="Palatino Linotype" w:cs="Times New Roman"/>
          <w:i/>
          <w:iCs/>
          <w:noProof/>
        </w:rPr>
        <w:t>18</w:t>
      </w:r>
      <w:r w:rsidRPr="00BF0B47">
        <w:rPr>
          <w:rFonts w:ascii="Palatino Linotype" w:hAnsi="Palatino Linotype" w:cs="Times New Roman"/>
          <w:noProof/>
        </w:rPr>
        <w:t>(1), 1–7.</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Supratiknya. (1995). </w:t>
      </w:r>
      <w:r w:rsidRPr="00BF0B47">
        <w:rPr>
          <w:rFonts w:ascii="Palatino Linotype" w:hAnsi="Palatino Linotype" w:cs="Times New Roman"/>
          <w:i/>
          <w:iCs/>
          <w:noProof/>
        </w:rPr>
        <w:t>Komunikasi Antarpribadi</w:t>
      </w:r>
      <w:r w:rsidRPr="00BF0B47">
        <w:rPr>
          <w:rFonts w:ascii="Palatino Linotype" w:hAnsi="Palatino Linotype" w:cs="Times New Roman"/>
          <w:noProof/>
        </w:rPr>
        <w:t>. Yogyakarta: Kanisius.</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Santrock, J. W. (2007). </w:t>
      </w:r>
      <w:r w:rsidRPr="00BF0B47">
        <w:rPr>
          <w:rFonts w:ascii="Palatino Linotype" w:hAnsi="Palatino Linotype" w:cs="Times New Roman"/>
          <w:i/>
          <w:iCs/>
          <w:noProof/>
        </w:rPr>
        <w:t>Remaja Jilid 2</w:t>
      </w:r>
      <w:r w:rsidRPr="00BF0B47">
        <w:rPr>
          <w:rFonts w:ascii="Palatino Linotype" w:hAnsi="Palatino Linotype" w:cs="Times New Roman"/>
          <w:noProof/>
        </w:rPr>
        <w:t>. Alih Bahasa Benedictine Widyasinta. Jakarta: Erlangga.</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lastRenderedPageBreak/>
        <w:t xml:space="preserve">Soekanto, S., &amp; Taneko, S. B. (2007). </w:t>
      </w:r>
      <w:r w:rsidRPr="00BF0B47">
        <w:rPr>
          <w:rFonts w:ascii="Palatino Linotype" w:hAnsi="Palatino Linotype" w:cs="Times New Roman"/>
          <w:i/>
          <w:iCs/>
          <w:noProof/>
        </w:rPr>
        <w:t>Hukum Adat Indonesia</w:t>
      </w:r>
      <w:r w:rsidRPr="00BF0B47">
        <w:rPr>
          <w:rFonts w:ascii="Palatino Linotype" w:hAnsi="Palatino Linotype" w:cs="Times New Roman"/>
          <w:noProof/>
        </w:rPr>
        <w:t>. Jakarta: Raja Grafindo Persada.</w:t>
      </w:r>
    </w:p>
    <w:p w:rsidR="00BF0B47" w:rsidRPr="00BF0B47" w:rsidRDefault="00BF0B47" w:rsidP="00BF0B47">
      <w:pPr>
        <w:widowControl w:val="0"/>
        <w:autoSpaceDE w:val="0"/>
        <w:autoSpaceDN w:val="0"/>
        <w:adjustRightInd w:val="0"/>
        <w:spacing w:line="240" w:lineRule="auto"/>
        <w:ind w:left="480" w:hanging="480"/>
        <w:jc w:val="both"/>
        <w:rPr>
          <w:rFonts w:ascii="Palatino Linotype" w:hAnsi="Palatino Linotype" w:cs="Times New Roman"/>
          <w:noProof/>
        </w:rPr>
      </w:pPr>
      <w:r w:rsidRPr="00BF0B47">
        <w:rPr>
          <w:rFonts w:ascii="Palatino Linotype" w:hAnsi="Palatino Linotype" w:cs="Times New Roman"/>
          <w:noProof/>
        </w:rPr>
        <w:t xml:space="preserve">Wei, M., Russell, D. W., &amp; Zakalik, R. A. (2005). Adult Attachment, Social Self-Efficacy, Self-Disclosure, Loneliness, and Subsequent Depression for Freshman College Students: A longitudinal study. </w:t>
      </w:r>
      <w:r w:rsidRPr="00BF0B47">
        <w:rPr>
          <w:rFonts w:ascii="Palatino Linotype" w:hAnsi="Palatino Linotype" w:cs="Times New Roman"/>
          <w:i/>
          <w:iCs/>
          <w:noProof/>
        </w:rPr>
        <w:t>Journal of Counseling Psychology</w:t>
      </w:r>
      <w:r w:rsidRPr="00BF0B47">
        <w:rPr>
          <w:rFonts w:ascii="Palatino Linotype" w:hAnsi="Palatino Linotype" w:cs="Times New Roman"/>
          <w:noProof/>
        </w:rPr>
        <w:t xml:space="preserve">, </w:t>
      </w:r>
      <w:r w:rsidRPr="00BF0B47">
        <w:rPr>
          <w:rFonts w:ascii="Palatino Linotype" w:hAnsi="Palatino Linotype" w:cs="Times New Roman"/>
          <w:i/>
          <w:iCs/>
          <w:noProof/>
        </w:rPr>
        <w:t>52</w:t>
      </w:r>
      <w:r w:rsidRPr="00BF0B47">
        <w:rPr>
          <w:rFonts w:ascii="Palatino Linotype" w:hAnsi="Palatino Linotype" w:cs="Times New Roman"/>
          <w:noProof/>
        </w:rPr>
        <w:t xml:space="preserve">(4), 602–614. </w:t>
      </w:r>
    </w:p>
    <w:p w:rsidR="00BF0B47" w:rsidRPr="00BF0B47" w:rsidRDefault="00BF0B47" w:rsidP="00BF0B47">
      <w:pPr>
        <w:spacing w:line="240" w:lineRule="auto"/>
        <w:jc w:val="both"/>
        <w:rPr>
          <w:rFonts w:ascii="Palatino Linotype" w:eastAsia="Times New Roman" w:hAnsi="Palatino Linotype" w:cs="Times New Roman"/>
          <w:lang w:eastAsia="id-ID"/>
        </w:rPr>
      </w:pPr>
      <w:r w:rsidRPr="0006128F">
        <w:rPr>
          <w:rFonts w:ascii="Palatino Linotype" w:eastAsia="Times New Roman" w:hAnsi="Palatino Linotype" w:cs="Times New Roman"/>
          <w:lang w:eastAsia="id-ID"/>
        </w:rPr>
        <w:t xml:space="preserve">Walker, M. (2005). </w:t>
      </w:r>
      <w:r w:rsidRPr="0006128F">
        <w:rPr>
          <w:rFonts w:ascii="Palatino Linotype" w:eastAsia="Times New Roman" w:hAnsi="Palatino Linotype" w:cs="Times New Roman"/>
          <w:i/>
          <w:iCs/>
          <w:lang w:eastAsia="id-ID"/>
        </w:rPr>
        <w:t>Quaternary dating methods</w:t>
      </w:r>
      <w:r w:rsidRPr="0006128F">
        <w:rPr>
          <w:rFonts w:ascii="Palatino Linotype" w:eastAsia="Times New Roman" w:hAnsi="Palatino Linotype" w:cs="Times New Roman"/>
          <w:lang w:eastAsia="id-ID"/>
        </w:rPr>
        <w:t>. John Wiley and Sons.</w:t>
      </w:r>
    </w:p>
    <w:p w:rsidR="00BF0B47" w:rsidRPr="00C07C97" w:rsidRDefault="00BF0B47" w:rsidP="00BF0B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F0B47">
        <w:rPr>
          <w:rFonts w:ascii="Palatino Linotype" w:hAnsi="Palatino Linotype" w:cs="Times New Roman"/>
          <w:noProof/>
        </w:rPr>
        <w:t xml:space="preserve">Yuniar, N. (2017). Bunuh Diri Rentan di Kalangan Remaja dan Dewasa Muda. Publish Online at </w:t>
      </w:r>
      <w:r w:rsidRPr="00BF0B47">
        <w:rPr>
          <w:rFonts w:ascii="Palatino Linotype" w:hAnsi="Palatino Linotype" w:cs="Times New Roman"/>
          <w:i/>
          <w:iCs/>
          <w:noProof/>
        </w:rPr>
        <w:t>ANTARA News</w:t>
      </w:r>
      <w:r w:rsidRPr="00BF0B47">
        <w:rPr>
          <w:rFonts w:ascii="Palatino Linotype" w:hAnsi="Palatino Linotype" w:cs="Times New Roman"/>
          <w:noProof/>
        </w:rPr>
        <w:t>. Retrieved from https://www.antaranews.com/berita/641301/bunuh-diri-rentan-di-kalangan-remaja-dan-dewasa-muda. Diakses pada tanggal 16 April 2018</w:t>
      </w:r>
      <w:r>
        <w:rPr>
          <w:rFonts w:ascii="Times New Roman" w:hAnsi="Times New Roman" w:cs="Times New Roman"/>
          <w:noProof/>
          <w:sz w:val="24"/>
          <w:szCs w:val="24"/>
        </w:rPr>
        <w:t>.</w:t>
      </w:r>
    </w:p>
    <w:p w:rsidR="00BF0B47" w:rsidRPr="00C07C97" w:rsidRDefault="00BF0B47" w:rsidP="00BF0B47">
      <w:pPr>
        <w:widowControl w:val="0"/>
        <w:autoSpaceDE w:val="0"/>
        <w:autoSpaceDN w:val="0"/>
        <w:adjustRightInd w:val="0"/>
        <w:ind w:left="480" w:hanging="480"/>
        <w:jc w:val="both"/>
        <w:rPr>
          <w:rFonts w:ascii="Times New Roman" w:hAnsi="Times New Roman" w:cs="Times New Roman"/>
          <w:noProof/>
          <w:sz w:val="24"/>
          <w:szCs w:val="24"/>
        </w:rPr>
      </w:pPr>
    </w:p>
    <w:p w:rsidR="00BF0B47" w:rsidRDefault="00BF0B47" w:rsidP="00BF0B47"/>
    <w:p w:rsidR="007F075B" w:rsidRPr="00BF0B47" w:rsidRDefault="007F075B" w:rsidP="00BF0B47">
      <w:pPr>
        <w:spacing w:after="120" w:line="240" w:lineRule="auto"/>
        <w:jc w:val="both"/>
        <w:rPr>
          <w:rFonts w:ascii="Palatino Linotype" w:hAnsi="Palatino Linotype" w:cs="Times New Roman"/>
          <w:sz w:val="18"/>
          <w:szCs w:val="20"/>
        </w:rPr>
      </w:pPr>
    </w:p>
    <w:sectPr w:rsidR="007F075B" w:rsidRPr="00BF0B47" w:rsidSect="008917C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134" w:bottom="1440" w:left="1134" w:header="709" w:footer="878"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ADA" w:rsidRDefault="00AE4ADA" w:rsidP="002F378A">
      <w:pPr>
        <w:spacing w:after="0" w:line="240" w:lineRule="auto"/>
      </w:pPr>
      <w:r>
        <w:separator/>
      </w:r>
    </w:p>
  </w:endnote>
  <w:endnote w:type="continuationSeparator" w:id="1">
    <w:p w:rsidR="00AE4ADA" w:rsidRDefault="00AE4ADA" w:rsidP="002F3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rPr>
      <w:id w:val="917831"/>
      <w:docPartObj>
        <w:docPartGallery w:val="Page Numbers (Bottom of Page)"/>
        <w:docPartUnique/>
      </w:docPartObj>
    </w:sdtPr>
    <w:sdtContent>
      <w:p w:rsidR="00586DD9" w:rsidRPr="004D2B29" w:rsidRDefault="00114C44" w:rsidP="008917C2">
        <w:pPr>
          <w:pStyle w:val="Footer"/>
          <w:tabs>
            <w:tab w:val="clear" w:pos="4513"/>
          </w:tabs>
          <w:jc w:val="right"/>
          <w:rPr>
            <w:rFonts w:cstheme="minorHAnsi"/>
          </w:rPr>
        </w:pPr>
        <w:r w:rsidRPr="00114C44">
          <w:rPr>
            <w:rFonts w:cstheme="minorHAnsi"/>
            <w:b/>
            <w:noProof/>
            <w:sz w:val="32"/>
            <w:lang w:val="en-US"/>
          </w:rPr>
          <w:pict>
            <v:shapetype id="_x0000_t32" coordsize="21600,21600" o:spt="32" o:oned="t" path="m,l21600,21600e" filled="f">
              <v:path arrowok="t" fillok="f" o:connecttype="none"/>
              <o:lock v:ext="edit" shapetype="t"/>
            </v:shapetype>
            <v:shape id="AutoShape 5" o:spid="_x0000_s4101" type="#_x0000_t32" style="position:absolute;left:0;text-align:left;margin-left:1pt;margin-top:-7.8pt;width:455.65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" strokeweight="1.5pt">
              <o:lock v:ext="edit" shapetype="f"/>
            </v:shape>
          </w:pict>
        </w:r>
        <w:r w:rsidR="00586DD9" w:rsidRPr="004D2B29">
          <w:rPr>
            <w:rFonts w:cstheme="minorHAnsi"/>
            <w:sz w:val="20"/>
            <w:szCs w:val="20"/>
            <w:lang w:val="en-US"/>
          </w:rPr>
          <w:t xml:space="preserve"> (Title)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D9" w:rsidRPr="004A14AD" w:rsidRDefault="00114C44" w:rsidP="004A14AD">
    <w:pPr>
      <w:pStyle w:val="Footer"/>
      <w:tabs>
        <w:tab w:val="clear" w:pos="9026"/>
        <w:tab w:val="left" w:pos="8222"/>
      </w:tabs>
      <w:rPr>
        <w:rFonts w:ascii="Arial Rounded MT Bold" w:hAnsi="Arial Rounded MT Bold" w:cs="Times New Roman"/>
        <w:b/>
        <w:sz w:val="14"/>
        <w:szCs w:val="16"/>
        <w:lang w:val="en-US"/>
      </w:rPr>
    </w:pPr>
    <w:r w:rsidRPr="00114C44">
      <w:rPr>
        <w:rFonts w:ascii="Arial Rounded MT Bold" w:hAnsi="Arial Rounded MT Bold" w:cs="Times New Roman"/>
        <w:b/>
        <w:noProof/>
        <w:sz w:val="14"/>
        <w:szCs w:val="16"/>
        <w:lang w:val="en-US"/>
      </w:rPr>
      <w:pict>
        <v:shapetype id="_x0000_t32" coordsize="21600,21600" o:spt="32" o:oned="t" path="m,l21600,21600e" filled="f">
          <v:path arrowok="t" fillok="f" o:connecttype="none"/>
          <o:lock v:ext="edit" shapetype="t"/>
        </v:shapetype>
        <v:shape id="AutoShape 4" o:spid="_x0000_s4100" type="#_x0000_t32" style="position:absolute;margin-left:-3.7pt;margin-top:-8.3pt;width:459.1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" strokeweight="1.5pt">
          <o:lock v:ext="edit" shapetype="f"/>
        </v:shape>
      </w:pict>
    </w:r>
    <w:hyperlink r:id="rId1" w:history="1">
      <w:r w:rsidR="00586DD9" w:rsidRPr="004A14AD">
        <w:rPr>
          <w:rFonts w:ascii="Arial Rounded MT Bold" w:hAnsi="Arial Rounded MT Bold" w:cs="Times New Roman"/>
          <w:b/>
          <w:sz w:val="14"/>
          <w:szCs w:val="16"/>
          <w:lang w:val="en-US"/>
        </w:rPr>
        <w:t>http://bk.ppj.unp.ac.id/index.php/ijacss/index</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D9" w:rsidRPr="00EF1E06" w:rsidRDefault="00114C44" w:rsidP="00EF1E06">
    <w:pPr>
      <w:pStyle w:val="Footer"/>
      <w:tabs>
        <w:tab w:val="clear" w:pos="4513"/>
        <w:tab w:val="clear" w:pos="9026"/>
      </w:tabs>
      <w:jc w:val="center"/>
      <w:rPr>
        <w:rFonts w:cstheme="minorHAnsi"/>
        <w:lang w:val="en-US"/>
      </w:rPr>
    </w:pPr>
    <w:r w:rsidRPr="00114C44">
      <w:rPr>
        <w:rFonts w:ascii="Times New Roman" w:hAnsi="Times New Roman" w:cs="Times New Roman"/>
        <w:b/>
        <w:noProof/>
        <w:sz w:val="32"/>
        <w:lang w:val="en-US"/>
      </w:rPr>
      <w:pict>
        <v:shapetype id="_x0000_t32" coordsize="21600,21600" o:spt="32" o:oned="t" path="m,l21600,21600e" filled="f">
          <v:path arrowok="t" fillok="f" o:connecttype="none"/>
          <o:lock v:ext="edit" shapetype="t"/>
        </v:shapetype>
        <v:shape id="AutoShape 1" o:spid="_x0000_s4097" type="#_x0000_t32" style="position:absolute;left:0;text-align:left;margin-left:1.25pt;margin-top:-10.3pt;width:453.1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" strokeweight="1.5pt">
          <o:lock v:ext="edit" shapetype="f"/>
        </v:shape>
      </w:pict>
    </w:r>
    <w:r w:rsidR="00586DD9" w:rsidRPr="00D137E9">
      <w:rPr>
        <w:rStyle w:val="hps"/>
        <w:rFonts w:cstheme="minorHAnsi"/>
      </w:rPr>
      <w:t>1</w:t>
    </w:r>
    <w:r w:rsidR="00586DD9">
      <w:rPr>
        <w:rStyle w:val="hps"/>
        <w:rFonts w:cs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ADA" w:rsidRDefault="00AE4ADA" w:rsidP="002F378A">
      <w:pPr>
        <w:spacing w:after="0" w:line="240" w:lineRule="auto"/>
      </w:pPr>
      <w:r>
        <w:separator/>
      </w:r>
    </w:p>
  </w:footnote>
  <w:footnote w:type="continuationSeparator" w:id="1">
    <w:p w:rsidR="00AE4ADA" w:rsidRDefault="00AE4ADA" w:rsidP="002F3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rPr>
      <w:id w:val="917832"/>
      <w:docPartObj>
        <w:docPartGallery w:val="Page Numbers (Top of Page)"/>
        <w:docPartUnique/>
      </w:docPartObj>
    </w:sdtPr>
    <w:sdtContent>
      <w:p w:rsidR="00586DD9" w:rsidRPr="004D2B29" w:rsidRDefault="00586DD9" w:rsidP="00CA02A0">
        <w:pPr>
          <w:pStyle w:val="Footer"/>
          <w:tabs>
            <w:tab w:val="clear" w:pos="9026"/>
            <w:tab w:val="left" w:pos="8222"/>
          </w:tabs>
          <w:rPr>
            <w:rFonts w:cstheme="minorHAnsi"/>
            <w:lang w:val="en-US"/>
          </w:rPr>
        </w:pPr>
      </w:p>
      <w:p w:rsidR="00586DD9" w:rsidRPr="004D2B29" w:rsidRDefault="00586DD9" w:rsidP="00CA02A0">
        <w:pPr>
          <w:pStyle w:val="Footer"/>
          <w:tabs>
            <w:tab w:val="clear" w:pos="9026"/>
            <w:tab w:val="left" w:pos="8222"/>
          </w:tabs>
          <w:rPr>
            <w:rFonts w:cstheme="minorHAnsi"/>
          </w:rPr>
        </w:pPr>
        <w:r w:rsidRPr="004A14AD">
          <w:rPr>
            <w:rFonts w:ascii="Arial Rounded MT Bold" w:hAnsi="Arial Rounded MT Bold" w:cs="Times New Roman"/>
            <w:b/>
            <w:sz w:val="14"/>
            <w:szCs w:val="16"/>
            <w:lang w:val="en-US"/>
          </w:rPr>
          <w:t>International Journal of Applied Counseling and Social Sciences</w:t>
        </w:r>
        <w:r>
          <w:rPr>
            <w:rFonts w:ascii="Times New Roman" w:hAnsi="Times New Roman" w:cs="Times New Roman"/>
            <w:b/>
            <w:sz w:val="14"/>
            <w:lang w:val="en-US"/>
          </w:rPr>
          <w:t xml:space="preserve">, </w:t>
        </w:r>
        <w:r>
          <w:rPr>
            <w:rFonts w:ascii="Arial Rounded MT Bold" w:hAnsi="Arial Rounded MT Bold" w:cs="Times New Roman"/>
            <w:sz w:val="14"/>
            <w:lang w:val="en-US"/>
          </w:rPr>
          <w:t>Vol 1 No 1 2019</w:t>
        </w:r>
        <w:r w:rsidRPr="004D2B29">
          <w:rPr>
            <w:rFonts w:cstheme="minorHAnsi"/>
            <w:lang w:val="en-US"/>
          </w:rPr>
          <w:tab/>
        </w:r>
        <w:r w:rsidR="00114C44" w:rsidRPr="004D2B29">
          <w:rPr>
            <w:rFonts w:cstheme="minorHAnsi"/>
          </w:rPr>
          <w:fldChar w:fldCharType="begin"/>
        </w:r>
        <w:r w:rsidRPr="004D2B29">
          <w:rPr>
            <w:rFonts w:cstheme="minorHAnsi"/>
          </w:rPr>
          <w:instrText xml:space="preserve"> PAGE   \* MERGEFORMAT </w:instrText>
        </w:r>
        <w:r w:rsidR="00114C44" w:rsidRPr="004D2B29">
          <w:rPr>
            <w:rFonts w:cstheme="minorHAnsi"/>
          </w:rPr>
          <w:fldChar w:fldCharType="separate"/>
        </w:r>
        <w:r w:rsidR="001778EA">
          <w:rPr>
            <w:rFonts w:cstheme="minorHAnsi"/>
            <w:noProof/>
          </w:rPr>
          <w:t>2</w:t>
        </w:r>
        <w:r w:rsidR="00114C44" w:rsidRPr="004D2B29">
          <w:rPr>
            <w:rFonts w:cstheme="minorHAnsi"/>
          </w:rPr>
          <w:fldChar w:fldCharType="end"/>
        </w:r>
      </w:p>
    </w:sdtContent>
  </w:sdt>
  <w:p w:rsidR="00586DD9" w:rsidRPr="004D2B29" w:rsidRDefault="00114C44">
    <w:pPr>
      <w:pStyle w:val="Header"/>
      <w:rPr>
        <w:rFonts w:cstheme="minorHAnsi"/>
      </w:rPr>
    </w:pPr>
    <w:r w:rsidRPr="00114C44">
      <w:rPr>
        <w:rFonts w:cstheme="minorHAnsi"/>
        <w:b/>
        <w:noProof/>
        <w:lang w:val="en-US"/>
      </w:rPr>
      <w:pict>
        <v:shapetype id="_x0000_t32" coordsize="21600,21600" o:spt="32" o:oned="t" path="m,l21600,21600e" filled="f">
          <v:path arrowok="t" fillok="f" o:connecttype="none"/>
          <o:lock v:ext="edit" shapetype="t"/>
        </v:shapetype>
        <v:shape id="AutoShape 7" o:spid="_x0000_s4103" type="#_x0000_t32" style="position:absolute;margin-left:.55pt;margin-top:15.3pt;width:456.1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" strokeweight="1.5pt">
          <o:lock v:ext="edit" shapetype="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rPr>
      <w:id w:val="4740617"/>
      <w:docPartObj>
        <w:docPartGallery w:val="Page Numbers (Top of Page)"/>
        <w:docPartUnique/>
      </w:docPartObj>
    </w:sdtPr>
    <w:sdtContent>
      <w:p w:rsidR="00586DD9" w:rsidRPr="004D2B29" w:rsidRDefault="00586DD9" w:rsidP="00A37B4A">
        <w:pPr>
          <w:tabs>
            <w:tab w:val="left" w:pos="426"/>
            <w:tab w:val="left" w:pos="8364"/>
          </w:tabs>
          <w:autoSpaceDE w:val="0"/>
          <w:autoSpaceDN w:val="0"/>
          <w:adjustRightInd w:val="0"/>
          <w:spacing w:after="0" w:line="240" w:lineRule="auto"/>
          <w:ind w:left="426" w:hanging="426"/>
          <w:jc w:val="right"/>
          <w:rPr>
            <w:rFonts w:cstheme="minorHAnsi"/>
            <w:color w:val="000000" w:themeColor="text1"/>
            <w:lang w:val="en-US"/>
          </w:rPr>
        </w:pPr>
        <w:r w:rsidRPr="004D2B29">
          <w:rPr>
            <w:rFonts w:cstheme="minorHAnsi"/>
            <w:lang w:val="en-US"/>
          </w:rPr>
          <w:tab/>
        </w:r>
        <w:r w:rsidRPr="004D2B29">
          <w:rPr>
            <w:rFonts w:cstheme="minorHAnsi"/>
            <w:color w:val="000000" w:themeColor="text1"/>
            <w:lang w:val="en-US"/>
          </w:rPr>
          <w:t>Author name 1, Author name2</w:t>
        </w:r>
        <w:r w:rsidR="00114C44" w:rsidRPr="004D2B29">
          <w:rPr>
            <w:rFonts w:cstheme="minorHAnsi"/>
          </w:rPr>
          <w:fldChar w:fldCharType="begin"/>
        </w:r>
        <w:r w:rsidRPr="004D2B29">
          <w:rPr>
            <w:rFonts w:cstheme="minorHAnsi"/>
          </w:rPr>
          <w:instrText xml:space="preserve"> PAGE   \* MERGEFORMAT </w:instrText>
        </w:r>
        <w:r w:rsidR="00114C44" w:rsidRPr="004D2B29">
          <w:rPr>
            <w:rFonts w:cstheme="minorHAnsi"/>
          </w:rPr>
          <w:fldChar w:fldCharType="separate"/>
        </w:r>
        <w:r w:rsidR="001778EA">
          <w:rPr>
            <w:rFonts w:cstheme="minorHAnsi"/>
            <w:noProof/>
          </w:rPr>
          <w:t>3</w:t>
        </w:r>
        <w:r w:rsidR="00114C44" w:rsidRPr="004D2B29">
          <w:rPr>
            <w:rFonts w:cstheme="minorHAnsi"/>
          </w:rPr>
          <w:fldChar w:fldCharType="end"/>
        </w:r>
      </w:p>
      <w:p w:rsidR="00586DD9" w:rsidRPr="004D2B29" w:rsidRDefault="00114C44" w:rsidP="00A37B4A">
        <w:pPr>
          <w:tabs>
            <w:tab w:val="left" w:pos="426"/>
          </w:tabs>
          <w:autoSpaceDE w:val="0"/>
          <w:autoSpaceDN w:val="0"/>
          <w:adjustRightInd w:val="0"/>
          <w:spacing w:after="0" w:line="240" w:lineRule="auto"/>
          <w:ind w:left="426" w:right="423" w:hanging="426"/>
          <w:jc w:val="right"/>
          <w:rPr>
            <w:rFonts w:cstheme="minorHAnsi"/>
          </w:rPr>
        </w:pPr>
      </w:p>
    </w:sdtContent>
  </w:sdt>
  <w:p w:rsidR="00586DD9" w:rsidRPr="004D2B29" w:rsidRDefault="00114C44">
    <w:pPr>
      <w:pStyle w:val="Header"/>
      <w:rPr>
        <w:rFonts w:cstheme="minorHAnsi"/>
      </w:rPr>
    </w:pPr>
    <w:r w:rsidRPr="00114C44">
      <w:rPr>
        <w:rFonts w:cstheme="minorHAnsi"/>
        <w:b/>
        <w:noProof/>
        <w:lang w:val="en-US"/>
      </w:rPr>
      <w:pict>
        <v:shapetype id="_x0000_t32" coordsize="21600,21600" o:spt="32" o:oned="t" path="m,l21600,21600e" filled="f">
          <v:path arrowok="t" fillok="f" o:connecttype="none"/>
          <o:lock v:ext="edit" shapetype="t"/>
        </v:shapetype>
        <v:shape id="AutoShape 6" o:spid="_x0000_s4102" type="#_x0000_t32" style="position:absolute;margin-left:1pt;margin-top:15.05pt;width:454.4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" strokeweight="1.5pt">
          <o:lock v:ext="edit" shapetype="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D9" w:rsidRPr="00CD1164" w:rsidRDefault="00586DD9" w:rsidP="0053490F">
    <w:pPr>
      <w:pStyle w:val="Footer"/>
      <w:tabs>
        <w:tab w:val="clear" w:pos="4513"/>
      </w:tabs>
      <w:jc w:val="right"/>
      <w:rPr>
        <w:rFonts w:ascii="Palatino Linotype" w:hAnsi="Palatino Linotype" w:cs="Times New Roman"/>
        <w:b/>
        <w:lang w:val="en-US"/>
      </w:rPr>
    </w:pPr>
    <w:r>
      <w:rPr>
        <w:rFonts w:ascii="Palatino Linotype" w:hAnsi="Palatino Linotype" w:cs="Arial"/>
        <w:noProof/>
        <w:lang w:eastAsia="id-ID"/>
      </w:rPr>
      <w:drawing>
        <wp:anchor distT="0" distB="0" distL="114300" distR="114300" simplePos="0" relativeHeight="251676672" behindDoc="0" locked="0" layoutInCell="1" allowOverlap="1">
          <wp:simplePos x="0" y="0"/>
          <wp:positionH relativeFrom="column">
            <wp:posOffset>43096</wp:posOffset>
          </wp:positionH>
          <wp:positionV relativeFrom="paragraph">
            <wp:posOffset>-1642</wp:posOffset>
          </wp:positionV>
          <wp:extent cx="731448" cy="707366"/>
          <wp:effectExtent l="19050" t="0" r="0" b="0"/>
          <wp:wrapNone/>
          <wp:docPr id="24" name="Picture 24" descr="logoija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ijacss"/>
                  <pic:cNvPicPr>
                    <a:picLocks noChangeAspect="1" noChangeArrowheads="1"/>
                  </pic:cNvPicPr>
                </pic:nvPicPr>
                <pic:blipFill>
                  <a:blip r:embed="rId1"/>
                  <a:srcRect/>
                  <a:stretch>
                    <a:fillRect/>
                  </a:stretch>
                </pic:blipFill>
                <pic:spPr bwMode="auto">
                  <a:xfrm>
                    <a:off x="0" y="0"/>
                    <a:ext cx="731448" cy="707366"/>
                  </a:xfrm>
                  <a:prstGeom prst="rect">
                    <a:avLst/>
                  </a:prstGeom>
                  <a:noFill/>
                </pic:spPr>
              </pic:pic>
            </a:graphicData>
          </a:graphic>
        </wp:anchor>
      </w:drawing>
    </w:r>
    <w:r w:rsidRPr="00CD1164">
      <w:rPr>
        <w:rFonts w:ascii="Palatino Linotype" w:hAnsi="Palatino Linotype" w:cs="Times New Roman"/>
        <w:b/>
        <w:lang w:val="en-US"/>
      </w:rPr>
      <w:t>International Journal of Applied Counseling and Social Sciences</w:t>
    </w:r>
  </w:p>
  <w:p w:rsidR="00586DD9" w:rsidRDefault="00586DD9" w:rsidP="0053490F">
    <w:pPr>
      <w:pStyle w:val="Footer"/>
      <w:tabs>
        <w:tab w:val="clear" w:pos="4513"/>
      </w:tabs>
      <w:jc w:val="right"/>
      <w:rPr>
        <w:rFonts w:ascii="Palatino Linotype" w:hAnsi="Palatino Linotype"/>
        <w:sz w:val="16"/>
        <w:lang w:val="en-US"/>
      </w:rPr>
    </w:pPr>
    <w:r w:rsidRPr="00CD1164">
      <w:rPr>
        <w:rFonts w:ascii="Palatino Linotype" w:hAnsi="Palatino Linotype"/>
        <w:sz w:val="16"/>
      </w:rPr>
      <w:t>Volume 01 Number 01 2019</w:t>
    </w:r>
  </w:p>
  <w:p w:rsidR="00586DD9" w:rsidRDefault="00586DD9" w:rsidP="0053490F">
    <w:pPr>
      <w:pStyle w:val="Footer"/>
      <w:tabs>
        <w:tab w:val="clear" w:pos="4513"/>
      </w:tabs>
      <w:jc w:val="right"/>
      <w:rPr>
        <w:rFonts w:ascii="Palatino Linotype" w:hAnsi="Palatino Linotype"/>
        <w:sz w:val="16"/>
      </w:rPr>
    </w:pPr>
    <w:r w:rsidRPr="0053490F">
      <w:rPr>
        <w:rFonts w:ascii="Palatino Linotype" w:hAnsi="Palatino Linotype"/>
        <w:sz w:val="16"/>
      </w:rPr>
      <w:t>ISSN: Print 2774-8995 - Electronic 2774-9134</w:t>
    </w:r>
  </w:p>
  <w:p w:rsidR="00586DD9" w:rsidRPr="00CD1164" w:rsidRDefault="00586DD9" w:rsidP="0053490F">
    <w:pPr>
      <w:pStyle w:val="Header"/>
      <w:tabs>
        <w:tab w:val="clear" w:pos="4513"/>
        <w:tab w:val="clear" w:pos="9026"/>
        <w:tab w:val="left" w:pos="1942"/>
      </w:tabs>
      <w:ind w:left="-142" w:firstLine="142"/>
      <w:jc w:val="right"/>
      <w:rPr>
        <w:rFonts w:ascii="Palatino Linotype" w:hAnsi="Palatino Linotype"/>
        <w:sz w:val="18"/>
        <w:szCs w:val="20"/>
        <w:lang w:val="en-US"/>
      </w:rPr>
    </w:pPr>
    <w:r w:rsidRPr="00CD1164">
      <w:rPr>
        <w:rFonts w:ascii="Palatino Linotype" w:hAnsi="Palatino Linotype"/>
        <w:sz w:val="18"/>
        <w:szCs w:val="20"/>
        <w:lang w:val="en-US"/>
      </w:rPr>
      <w:t>DOI: 10.24036 / 005298ijaccs</w:t>
    </w:r>
  </w:p>
  <w:p w:rsidR="00586DD9" w:rsidRPr="00CD1164" w:rsidRDefault="00114C44" w:rsidP="0053490F">
    <w:pPr>
      <w:pStyle w:val="Footer"/>
      <w:tabs>
        <w:tab w:val="clear" w:pos="4513"/>
      </w:tabs>
      <w:jc w:val="right"/>
      <w:rPr>
        <w:rFonts w:ascii="Palatino Linotype" w:hAnsi="Palatino Linotype"/>
        <w:i/>
        <w:sz w:val="18"/>
        <w:lang w:val="en-US"/>
      </w:rPr>
    </w:pPr>
    <w:r w:rsidRPr="00114C44">
      <w:rPr>
        <w:rFonts w:ascii="Palatino Linotype" w:hAnsi="Palatino Linotype"/>
        <w:noProof/>
        <w:sz w:val="18"/>
        <w:lang w:val="en-US"/>
      </w:rPr>
      <w:pict>
        <v:rect id="Rectangle 3" o:spid="_x0000_s4099" style="position:absolute;left:0;text-align:left;margin-left:3.9pt;margin-top:4.5pt;width:58.25pt;height:26.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" filled="f" strokecolor="white">
          <v:path arrowok="t"/>
          <v:textbox>
            <w:txbxContent>
              <w:p w:rsidR="00586DD9" w:rsidRPr="00CD1164" w:rsidRDefault="00586DD9" w:rsidP="00947365">
                <w:pPr>
                  <w:pStyle w:val="Footer"/>
                  <w:jc w:val="center"/>
                  <w:rPr>
                    <w:rFonts w:ascii="Palatino Linotype" w:hAnsi="Palatino Linotype"/>
                    <w:b/>
                    <w:sz w:val="20"/>
                    <w:lang w:val="en-US"/>
                  </w:rPr>
                </w:pPr>
                <w:r w:rsidRPr="00CD1164">
                  <w:rPr>
                    <w:rFonts w:ascii="Palatino Linotype" w:hAnsi="Palatino Linotype"/>
                    <w:b/>
                    <w:sz w:val="20"/>
                    <w:lang w:val="en-US"/>
                  </w:rPr>
                  <w:t>IJACSS</w:t>
                </w:r>
              </w:p>
            </w:txbxContent>
          </v:textbox>
        </v:rect>
      </w:pict>
    </w:r>
  </w:p>
  <w:p w:rsidR="00586DD9" w:rsidRPr="0053490F" w:rsidRDefault="00586DD9" w:rsidP="0053490F">
    <w:pPr>
      <w:autoSpaceDE w:val="0"/>
      <w:autoSpaceDN w:val="0"/>
      <w:adjustRightInd w:val="0"/>
      <w:spacing w:after="0" w:line="240" w:lineRule="auto"/>
      <w:jc w:val="right"/>
      <w:rPr>
        <w:rFonts w:ascii="Palatino Linotype" w:hAnsi="Palatino Linotype" w:cs="Calibri"/>
        <w:sz w:val="16"/>
        <w:szCs w:val="16"/>
        <w:lang w:val="en-US"/>
      </w:rPr>
    </w:pPr>
    <w:r w:rsidRPr="00CD1164">
      <w:rPr>
        <w:rFonts w:ascii="Palatino Linotype" w:hAnsi="Palatino Linotype" w:cs="Calibri"/>
        <w:sz w:val="16"/>
        <w:szCs w:val="16"/>
        <w:lang w:val="en-US"/>
      </w:rPr>
      <w:t>Received January 10th, 2019; Revised February 25th, 2019; Accepted August 27th, 2019</w:t>
    </w:r>
    <w:r w:rsidR="00114C44" w:rsidRPr="00114C44">
      <w:rPr>
        <w:rFonts w:ascii="Palatino Linotype" w:hAnsi="Palatino Linotype" w:cs="Times New Roman"/>
        <w:b/>
        <w:noProof/>
        <w:sz w:val="32"/>
        <w:lang w:val="en-US"/>
      </w:rPr>
      <w:pict>
        <v:shapetype id="_x0000_t32" coordsize="21600,21600" o:spt="32" o:oned="t" path="m,l21600,21600e" filled="f">
          <v:path arrowok="t" fillok="f" o:connecttype="none"/>
          <o:lock v:ext="edit" shapetype="t"/>
        </v:shapetype>
        <v:shape id="AutoShape 2" o:spid="_x0000_s4098" type="#_x0000_t32" style="position:absolute;left:0;text-align:left;margin-left:-1.6pt;margin-top:11pt;width:453.1pt;height:0;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" strokeweight="1.5pt">
          <o:lock v:ext="edit" shapetype="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73EDD08"/>
    <w:lvl w:ilvl="0">
      <w:start w:val="1"/>
      <w:numFmt w:val="decimal"/>
      <w:lvlText w:val="%1."/>
      <w:lvlJc w:val="left"/>
      <w:pPr>
        <w:ind w:left="1080" w:hanging="360"/>
      </w:pPr>
      <w:rPr>
        <w:b/>
        <w:i w:val="0"/>
      </w:r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attachedTemplate r:id="rId1"/>
  <w:defaultTabStop w:val="720"/>
  <w:evenAndOddHeaders/>
  <w:drawingGridHorizontalSpacing w:val="110"/>
  <w:displayHorizontalDrawingGridEvery w:val="2"/>
  <w:characterSpacingControl w:val="doNotCompress"/>
  <w:hdrShapeDefaults>
    <o:shapedefaults v:ext="edit" spidmax="11266"/>
    <o:shapelayout v:ext="edit">
      <o:idmap v:ext="edit" data="4"/>
      <o:rules v:ext="edit">
        <o:r id="V:Rule7" type="connector" idref="#AutoShape 7"/>
        <o:r id="V:Rule8" type="connector" idref="#AutoShape 2"/>
        <o:r id="V:Rule9" type="connector" idref="#AutoShape 5"/>
        <o:r id="V:Rule10" type="connector" idref="#AutoShape 6"/>
        <o:r id="V:Rule11" type="connector" idref="#AutoShape 1"/>
        <o:r id="V:Rule12" type="connector" idref="#AutoShape 4"/>
      </o:rules>
    </o:shapelayout>
  </w:hdrShapeDefaults>
  <w:footnotePr>
    <w:footnote w:id="0"/>
    <w:footnote w:id="1"/>
  </w:footnotePr>
  <w:endnotePr>
    <w:endnote w:id="0"/>
    <w:endnote w:id="1"/>
  </w:endnotePr>
  <w:compat>
    <w:useFELayout/>
  </w:compat>
  <w:rsids>
    <w:rsidRoot w:val="00661691"/>
    <w:rsid w:val="00001C13"/>
    <w:rsid w:val="000111C1"/>
    <w:rsid w:val="0001629F"/>
    <w:rsid w:val="00030B29"/>
    <w:rsid w:val="00054684"/>
    <w:rsid w:val="00093C63"/>
    <w:rsid w:val="000B16B5"/>
    <w:rsid w:val="000C72BA"/>
    <w:rsid w:val="000E1584"/>
    <w:rsid w:val="000E3CB2"/>
    <w:rsid w:val="000E70D3"/>
    <w:rsid w:val="00114AEB"/>
    <w:rsid w:val="00114C44"/>
    <w:rsid w:val="00122459"/>
    <w:rsid w:val="001227C8"/>
    <w:rsid w:val="0012507A"/>
    <w:rsid w:val="001416A1"/>
    <w:rsid w:val="00166EED"/>
    <w:rsid w:val="001676B5"/>
    <w:rsid w:val="001706E0"/>
    <w:rsid w:val="001778EA"/>
    <w:rsid w:val="001928DC"/>
    <w:rsid w:val="001944FA"/>
    <w:rsid w:val="001951B4"/>
    <w:rsid w:val="001A33A9"/>
    <w:rsid w:val="001B0551"/>
    <w:rsid w:val="001B7FEC"/>
    <w:rsid w:val="001C0A7A"/>
    <w:rsid w:val="001C60F1"/>
    <w:rsid w:val="001D23C5"/>
    <w:rsid w:val="001D760D"/>
    <w:rsid w:val="001E53A8"/>
    <w:rsid w:val="001E7CEB"/>
    <w:rsid w:val="001F00BA"/>
    <w:rsid w:val="001F4CDE"/>
    <w:rsid w:val="001F7A29"/>
    <w:rsid w:val="00223BC4"/>
    <w:rsid w:val="002324EE"/>
    <w:rsid w:val="00233262"/>
    <w:rsid w:val="002566C0"/>
    <w:rsid w:val="0026295B"/>
    <w:rsid w:val="00262CBD"/>
    <w:rsid w:val="0026683F"/>
    <w:rsid w:val="00273383"/>
    <w:rsid w:val="002773B4"/>
    <w:rsid w:val="00295AE1"/>
    <w:rsid w:val="002A2DF0"/>
    <w:rsid w:val="002A68DE"/>
    <w:rsid w:val="002B0575"/>
    <w:rsid w:val="002B1F5F"/>
    <w:rsid w:val="002C5ABB"/>
    <w:rsid w:val="002F1B57"/>
    <w:rsid w:val="002F337F"/>
    <w:rsid w:val="002F378A"/>
    <w:rsid w:val="00305CF7"/>
    <w:rsid w:val="00322F1A"/>
    <w:rsid w:val="00342403"/>
    <w:rsid w:val="0035395C"/>
    <w:rsid w:val="003858F3"/>
    <w:rsid w:val="00391F96"/>
    <w:rsid w:val="003A7EE6"/>
    <w:rsid w:val="003B03D6"/>
    <w:rsid w:val="003B5582"/>
    <w:rsid w:val="003B6C40"/>
    <w:rsid w:val="003D5F3E"/>
    <w:rsid w:val="003E7EDB"/>
    <w:rsid w:val="00401222"/>
    <w:rsid w:val="00402807"/>
    <w:rsid w:val="004236DB"/>
    <w:rsid w:val="004438AA"/>
    <w:rsid w:val="004457C0"/>
    <w:rsid w:val="00450EE0"/>
    <w:rsid w:val="00464D98"/>
    <w:rsid w:val="004702CB"/>
    <w:rsid w:val="0048473C"/>
    <w:rsid w:val="00487C52"/>
    <w:rsid w:val="00496995"/>
    <w:rsid w:val="004A14AD"/>
    <w:rsid w:val="004A2C7D"/>
    <w:rsid w:val="004A5672"/>
    <w:rsid w:val="004B24A0"/>
    <w:rsid w:val="004B731D"/>
    <w:rsid w:val="004C011A"/>
    <w:rsid w:val="004C2A1D"/>
    <w:rsid w:val="004D06AE"/>
    <w:rsid w:val="004D2B29"/>
    <w:rsid w:val="004D56FD"/>
    <w:rsid w:val="005007C8"/>
    <w:rsid w:val="00514346"/>
    <w:rsid w:val="005154EE"/>
    <w:rsid w:val="00522F95"/>
    <w:rsid w:val="00526700"/>
    <w:rsid w:val="00530214"/>
    <w:rsid w:val="0053490F"/>
    <w:rsid w:val="00542AC2"/>
    <w:rsid w:val="00586DD9"/>
    <w:rsid w:val="00587094"/>
    <w:rsid w:val="005D153C"/>
    <w:rsid w:val="005D3488"/>
    <w:rsid w:val="005D3AB1"/>
    <w:rsid w:val="005E7EBB"/>
    <w:rsid w:val="005F0093"/>
    <w:rsid w:val="006025E2"/>
    <w:rsid w:val="006050A6"/>
    <w:rsid w:val="00612CC4"/>
    <w:rsid w:val="0062004E"/>
    <w:rsid w:val="00620B0F"/>
    <w:rsid w:val="00622F52"/>
    <w:rsid w:val="006231A6"/>
    <w:rsid w:val="00623E9E"/>
    <w:rsid w:val="0064003A"/>
    <w:rsid w:val="00654A2C"/>
    <w:rsid w:val="00661691"/>
    <w:rsid w:val="00662179"/>
    <w:rsid w:val="00662EF4"/>
    <w:rsid w:val="00686BA3"/>
    <w:rsid w:val="00694735"/>
    <w:rsid w:val="006A2BB2"/>
    <w:rsid w:val="006B7EF9"/>
    <w:rsid w:val="006D2312"/>
    <w:rsid w:val="006E1D40"/>
    <w:rsid w:val="006F1426"/>
    <w:rsid w:val="006F3F7A"/>
    <w:rsid w:val="00711FE5"/>
    <w:rsid w:val="00712F37"/>
    <w:rsid w:val="0071384B"/>
    <w:rsid w:val="0071466C"/>
    <w:rsid w:val="007154D1"/>
    <w:rsid w:val="00730B6E"/>
    <w:rsid w:val="007375D7"/>
    <w:rsid w:val="007519C1"/>
    <w:rsid w:val="0076425E"/>
    <w:rsid w:val="00764C5C"/>
    <w:rsid w:val="00770813"/>
    <w:rsid w:val="00784C80"/>
    <w:rsid w:val="007A6480"/>
    <w:rsid w:val="007B0156"/>
    <w:rsid w:val="007B2E37"/>
    <w:rsid w:val="007C7C03"/>
    <w:rsid w:val="007D2B6B"/>
    <w:rsid w:val="007D3B4B"/>
    <w:rsid w:val="007D6A33"/>
    <w:rsid w:val="007F075B"/>
    <w:rsid w:val="007F7F72"/>
    <w:rsid w:val="0080629E"/>
    <w:rsid w:val="00814EDB"/>
    <w:rsid w:val="00816C0C"/>
    <w:rsid w:val="008324D0"/>
    <w:rsid w:val="0084048C"/>
    <w:rsid w:val="00842A7C"/>
    <w:rsid w:val="00864EB4"/>
    <w:rsid w:val="00866AE3"/>
    <w:rsid w:val="008677ED"/>
    <w:rsid w:val="00870E7A"/>
    <w:rsid w:val="008747EE"/>
    <w:rsid w:val="00882002"/>
    <w:rsid w:val="00885DB5"/>
    <w:rsid w:val="0088703B"/>
    <w:rsid w:val="0089067A"/>
    <w:rsid w:val="008917C2"/>
    <w:rsid w:val="008941F0"/>
    <w:rsid w:val="0089779A"/>
    <w:rsid w:val="008A013A"/>
    <w:rsid w:val="008A284A"/>
    <w:rsid w:val="008B29AB"/>
    <w:rsid w:val="008D4FB8"/>
    <w:rsid w:val="008E08A4"/>
    <w:rsid w:val="008E53A9"/>
    <w:rsid w:val="008F50C0"/>
    <w:rsid w:val="00905A94"/>
    <w:rsid w:val="00911102"/>
    <w:rsid w:val="009114C9"/>
    <w:rsid w:val="009259CF"/>
    <w:rsid w:val="00930823"/>
    <w:rsid w:val="00937218"/>
    <w:rsid w:val="009414D9"/>
    <w:rsid w:val="00947365"/>
    <w:rsid w:val="009557ED"/>
    <w:rsid w:val="00962AC6"/>
    <w:rsid w:val="009675FB"/>
    <w:rsid w:val="00973697"/>
    <w:rsid w:val="00993325"/>
    <w:rsid w:val="0099543A"/>
    <w:rsid w:val="009959EC"/>
    <w:rsid w:val="009D1316"/>
    <w:rsid w:val="009D5C8E"/>
    <w:rsid w:val="009E059D"/>
    <w:rsid w:val="009E1326"/>
    <w:rsid w:val="009F2072"/>
    <w:rsid w:val="009F7914"/>
    <w:rsid w:val="00A02445"/>
    <w:rsid w:val="00A05A8F"/>
    <w:rsid w:val="00A14026"/>
    <w:rsid w:val="00A2041E"/>
    <w:rsid w:val="00A27D8F"/>
    <w:rsid w:val="00A37B4A"/>
    <w:rsid w:val="00A4289C"/>
    <w:rsid w:val="00A54EE8"/>
    <w:rsid w:val="00A57587"/>
    <w:rsid w:val="00A60A60"/>
    <w:rsid w:val="00A64420"/>
    <w:rsid w:val="00A65349"/>
    <w:rsid w:val="00A6787D"/>
    <w:rsid w:val="00A74BB4"/>
    <w:rsid w:val="00A84A90"/>
    <w:rsid w:val="00A930BB"/>
    <w:rsid w:val="00AA3D23"/>
    <w:rsid w:val="00AC54CF"/>
    <w:rsid w:val="00AD3822"/>
    <w:rsid w:val="00AD7FA6"/>
    <w:rsid w:val="00AE4ADA"/>
    <w:rsid w:val="00AF4F90"/>
    <w:rsid w:val="00B03044"/>
    <w:rsid w:val="00B032CC"/>
    <w:rsid w:val="00B27E20"/>
    <w:rsid w:val="00B3160D"/>
    <w:rsid w:val="00B51886"/>
    <w:rsid w:val="00B56849"/>
    <w:rsid w:val="00B9102C"/>
    <w:rsid w:val="00B954B5"/>
    <w:rsid w:val="00BC331A"/>
    <w:rsid w:val="00BC525C"/>
    <w:rsid w:val="00BD614A"/>
    <w:rsid w:val="00BF0B47"/>
    <w:rsid w:val="00C01ACB"/>
    <w:rsid w:val="00C13BB5"/>
    <w:rsid w:val="00C23929"/>
    <w:rsid w:val="00C273FB"/>
    <w:rsid w:val="00C3205B"/>
    <w:rsid w:val="00C354FA"/>
    <w:rsid w:val="00C4061C"/>
    <w:rsid w:val="00C545EE"/>
    <w:rsid w:val="00C62562"/>
    <w:rsid w:val="00CA02A0"/>
    <w:rsid w:val="00CA148D"/>
    <w:rsid w:val="00CA2820"/>
    <w:rsid w:val="00CA4777"/>
    <w:rsid w:val="00CB162E"/>
    <w:rsid w:val="00CB414D"/>
    <w:rsid w:val="00CB5618"/>
    <w:rsid w:val="00CB67FD"/>
    <w:rsid w:val="00CE3102"/>
    <w:rsid w:val="00D14608"/>
    <w:rsid w:val="00D25A12"/>
    <w:rsid w:val="00D32F94"/>
    <w:rsid w:val="00D366C7"/>
    <w:rsid w:val="00D3683D"/>
    <w:rsid w:val="00D42822"/>
    <w:rsid w:val="00D54B02"/>
    <w:rsid w:val="00D655FB"/>
    <w:rsid w:val="00D832C5"/>
    <w:rsid w:val="00D93A4E"/>
    <w:rsid w:val="00D93BEF"/>
    <w:rsid w:val="00D94F12"/>
    <w:rsid w:val="00DC511F"/>
    <w:rsid w:val="00DF36EF"/>
    <w:rsid w:val="00DF604D"/>
    <w:rsid w:val="00E01623"/>
    <w:rsid w:val="00E10E1F"/>
    <w:rsid w:val="00E23D45"/>
    <w:rsid w:val="00E23D4A"/>
    <w:rsid w:val="00E367D4"/>
    <w:rsid w:val="00E524DD"/>
    <w:rsid w:val="00E7535B"/>
    <w:rsid w:val="00E929A3"/>
    <w:rsid w:val="00EA0B00"/>
    <w:rsid w:val="00EA3814"/>
    <w:rsid w:val="00EA47C9"/>
    <w:rsid w:val="00EA6928"/>
    <w:rsid w:val="00ED076D"/>
    <w:rsid w:val="00EF1E06"/>
    <w:rsid w:val="00EF6AAA"/>
    <w:rsid w:val="00F0120A"/>
    <w:rsid w:val="00F306FF"/>
    <w:rsid w:val="00F45BF6"/>
    <w:rsid w:val="00F47CEA"/>
    <w:rsid w:val="00F62AA7"/>
    <w:rsid w:val="00F7263E"/>
    <w:rsid w:val="00F767CE"/>
    <w:rsid w:val="00FA298B"/>
    <w:rsid w:val="00FE0C4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8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2F378A"/>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character" w:customStyle="1" w:styleId="ListParagraphChar">
    <w:name w:val="List Paragraph Char"/>
    <w:aliases w:val="Body of text Char"/>
    <w:basedOn w:val="DefaultParagraphFont"/>
    <w:link w:val="ListParagraph"/>
    <w:uiPriority w:val="34"/>
    <w:qFormat/>
    <w:rsid w:val="00CB162E"/>
    <w:rPr>
      <w:rFonts w:eastAsiaTheme="minorHAnsi"/>
      <w:lang w:eastAsia="en-US"/>
    </w:rPr>
  </w:style>
  <w:style w:type="paragraph" w:customStyle="1" w:styleId="Normal1">
    <w:name w:val="Normal1"/>
    <w:rsid w:val="00A27D8F"/>
    <w:pPr>
      <w:spacing w:after="200" w:line="276" w:lineRule="auto"/>
    </w:pPr>
    <w:rPr>
      <w:rFonts w:ascii="Calibri" w:eastAsia="Calibri" w:hAnsi="Calibri" w:cs="Calibri"/>
      <w:lang w:eastAsia="id-ID"/>
    </w:rPr>
  </w:style>
</w:styles>
</file>

<file path=word/webSettings.xml><?xml version="1.0" encoding="utf-8"?>
<w:webSettings xmlns:r="http://schemas.openxmlformats.org/officeDocument/2006/relationships" xmlns:w="http://schemas.openxmlformats.org/wordprocessingml/2006/main">
  <w:divs>
    <w:div w:id="1181355720">
      <w:bodyDiv w:val="1"/>
      <w:marLeft w:val="0"/>
      <w:marRight w:val="0"/>
      <w:marTop w:val="0"/>
      <w:marBottom w:val="0"/>
      <w:divBdr>
        <w:top w:val="none" w:sz="0" w:space="0" w:color="auto"/>
        <w:left w:val="none" w:sz="0" w:space="0" w:color="auto"/>
        <w:bottom w:val="none" w:sz="0" w:space="0" w:color="auto"/>
        <w:right w:val="none" w:sz="0" w:space="0" w:color="auto"/>
      </w:divBdr>
    </w:div>
    <w:div w:id="214161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24036/02017617386-0-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bk.ppj.unp.ac.id/index.php/ijacss/inde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UL\AppData\Local\Temp\Template%20IJACSS%20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6DAE-BB89-4AF1-9F73-4CE6B641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IJACSS BARU</Template>
  <TotalTime>11</TotalTime>
  <Pages>7</Pages>
  <Words>8475</Words>
  <Characters>48308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NURUL</cp:lastModifiedBy>
  <cp:revision>5</cp:revision>
  <cp:lastPrinted>2017-06-11T08:59:00Z</cp:lastPrinted>
  <dcterms:created xsi:type="dcterms:W3CDTF">2021-02-17T16:20:00Z</dcterms:created>
  <dcterms:modified xsi:type="dcterms:W3CDTF">2021-02-17T17:18:00Z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Unable to retrieve uuid - error: 0. Server error 'Connection refused'</vt:lpwstr>
  </property>
  <property fmtid="{D5CDD505-2E9C-101B-9397-08002B2CF9AE}" pid="4" name="Mendeley Citation Style_1">
    <vt:lpwstr>http://www.zotero.org/styles/ieee</vt:lpwstr>
  </property>
</Properties>
</file>